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pStyle w:val="10"/>
        <w:framePr w:w="2250" w:wrap="around" w:vAnchor="page" w:hAnchor="page" w:x="2052" w:y="2328"/>
        <w:widowControl w:val="0"/>
        <w:autoSpaceDE w:val="0"/>
        <w:autoSpaceDN w:val="0"/>
        <w:adjustRightInd w:val="0"/>
        <w:spacing w:before="0" w:after="0" w:line="300" w:lineRule="exact"/>
        <w:jc w:val="left"/>
        <w:rPr>
          <w:rFonts w:hint="default" w:ascii="宋体" w:hAnsi="宋体" w:eastAsia="宋体" w:cs="宋体"/>
          <w:color w:val="auto"/>
          <w:sz w:val="30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30"/>
          <w:lang w:val="en-US" w:eastAsia="zh-CN"/>
        </w:rPr>
        <w:t>B61546</w:t>
      </w:r>
    </w:p>
    <w:p>
      <w:pPr>
        <w:spacing w:line="400" w:lineRule="exact"/>
        <w:ind w:firstLine="420" w:firstLineChars="200"/>
        <w:rPr>
          <w:rFonts w:ascii="宋体" w:hAnsi="宋体" w:eastAsia="宋体" w:cs="宋体"/>
          <w:color w:val="000000"/>
          <w:sz w:val="24"/>
        </w:rPr>
      </w:pPr>
      <w:r>
        <w:rPr>
          <w:rFonts w:hint="eastAsia" w:ascii="宋体" w:hAnsi="宋体" w:eastAsia="宋体" w:cs="宋体"/>
        </w:rPr>
        <w:drawing>
          <wp:anchor distT="0" distB="0" distL="114300" distR="114300" simplePos="0" relativeHeight="251660288" behindDoc="1" locked="1" layoutInCell="1" allowOverlap="1">
            <wp:simplePos x="0" y="0"/>
            <wp:positionH relativeFrom="page">
              <wp:posOffset>933450</wp:posOffset>
            </wp:positionH>
            <wp:positionV relativeFrom="page">
              <wp:posOffset>31750</wp:posOffset>
            </wp:positionV>
            <wp:extent cx="5641975" cy="9620885"/>
            <wp:effectExtent l="19050" t="0" r="0" b="0"/>
            <wp:wrapNone/>
            <wp:docPr id="4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2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641975" cy="9620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pStyle w:val="1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500" w:lineRule="exact"/>
        <w:jc w:val="center"/>
        <w:rPr>
          <w:rFonts w:ascii="宋体" w:hAnsi="宋体" w:eastAsia="宋体" w:cs="宋体"/>
          <w:color w:val="000000"/>
          <w:sz w:val="48"/>
          <w:lang w:eastAsia="zh-CN"/>
        </w:rPr>
      </w:pPr>
      <w:r>
        <w:rPr>
          <w:rFonts w:hint="eastAsia" w:ascii="宋体" w:hAnsi="宋体" w:eastAsia="宋体" w:cs="宋体"/>
          <w:color w:val="000000"/>
          <w:sz w:val="48"/>
          <w:lang w:eastAsia="zh-CN"/>
        </w:rPr>
        <w:t>标 准 物 质 证 书</w:t>
      </w:r>
    </w:p>
    <w:p>
      <w:pPr>
        <w:pStyle w:val="1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500" w:lineRule="exact"/>
        <w:jc w:val="center"/>
        <w:rPr>
          <w:rFonts w:ascii="宋体" w:hAnsi="宋体" w:eastAsia="宋体" w:cs="宋体"/>
          <w:color w:val="auto"/>
          <w:sz w:val="30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30"/>
          <w:lang w:val="en-US" w:eastAsia="zh-CN"/>
        </w:rPr>
        <w:t>甲醇中哒草伏</w:t>
      </w:r>
    </w:p>
    <w:p>
      <w:pPr>
        <w:pStyle w:val="1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300" w:lineRule="exact"/>
        <w:jc w:val="center"/>
        <w:rPr>
          <w:rFonts w:ascii="宋体" w:hAnsi="宋体" w:eastAsia="宋体" w:cs="宋体"/>
          <w:color w:val="auto"/>
          <w:sz w:val="30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30"/>
          <w:lang w:val="en-US" w:eastAsia="zh-CN"/>
        </w:rPr>
        <w:t> Norflurazon in methanol</w:t>
      </w:r>
    </w:p>
    <w:p>
      <w:pPr>
        <w:pStyle w:val="1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480" w:lineRule="exact"/>
        <w:jc w:val="left"/>
        <w:rPr>
          <w:rFonts w:ascii="宋体" w:hAnsi="宋体" w:eastAsia="宋体" w:cs="宋体"/>
          <w:color w:val="000000"/>
          <w:sz w:val="48"/>
          <w:lang w:eastAsia="zh-CN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  <w:r>
        <w:rPr>
          <w:rFonts w:ascii="宋体" w:hAnsi="宋体" w:eastAsia="宋体" w:cs="宋体"/>
          <w:color w:val="000000"/>
          <w:sz w:val="24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1488440</wp:posOffset>
            </wp:positionH>
            <wp:positionV relativeFrom="paragraph">
              <wp:posOffset>312420</wp:posOffset>
            </wp:positionV>
            <wp:extent cx="1864995" cy="1860550"/>
            <wp:effectExtent l="0" t="0" r="1905" b="0"/>
            <wp:wrapNone/>
            <wp:docPr id="5" name="图片 2" descr="33417319615252417520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2" descr="3341731961525241752000.png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864995" cy="186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pStyle w:val="10"/>
        <w:framePr w:w="3726" w:wrap="around" w:vAnchor="page" w:hAnchor="page" w:x="3945" w:y="12523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hAnsi="宋体" w:eastAsia="宋体" w:cs="宋体"/>
          <w:color w:val="000000"/>
          <w:sz w:val="27"/>
          <w:lang w:eastAsia="zh-CN"/>
        </w:rPr>
      </w:pPr>
      <w:r>
        <w:rPr>
          <w:rFonts w:hint="eastAsia" w:ascii="宋体" w:hAnsi="宋体" w:eastAsia="宋体" w:cs="宋体"/>
          <w:color w:val="000000"/>
          <w:sz w:val="27"/>
          <w:lang w:eastAsia="zh-CN"/>
        </w:rPr>
        <w:t>上海源叶生物科技有限公司</w:t>
      </w:r>
    </w:p>
    <w:p>
      <w:pPr>
        <w:pStyle w:val="10"/>
        <w:framePr w:w="3726" w:wrap="around" w:vAnchor="page" w:hAnchor="page" w:x="3945" w:y="12523"/>
        <w:widowControl w:val="0"/>
        <w:autoSpaceDE w:val="0"/>
        <w:autoSpaceDN w:val="0"/>
        <w:adjustRightInd w:val="0"/>
        <w:spacing w:before="0" w:after="0" w:line="400" w:lineRule="exact"/>
        <w:ind w:firstLine="810" w:firstLineChars="300"/>
        <w:jc w:val="left"/>
        <w:rPr>
          <w:rFonts w:ascii="宋体" w:hAnsi="宋体" w:eastAsia="宋体" w:cs="宋体"/>
          <w:color w:val="000000"/>
          <w:sz w:val="27"/>
          <w:lang w:val="en-US" w:eastAsia="zh-CN"/>
        </w:rPr>
      </w:pPr>
      <w:r>
        <w:rPr>
          <w:rFonts w:hint="eastAsia" w:ascii="宋体" w:hAnsi="宋体" w:eastAsia="宋体" w:cs="宋体"/>
          <w:color w:val="000000"/>
          <w:sz w:val="27"/>
          <w:lang w:val="en-US" w:eastAsia="zh-CN"/>
        </w:rPr>
        <w:t>中国    上海</w:t>
      </w: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pStyle w:val="10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hAnsi="宋体" w:eastAsia="宋体" w:cs="宋体"/>
          <w:color w:val="auto"/>
          <w:sz w:val="27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7"/>
          <w:lang w:eastAsia="zh-CN"/>
        </w:rPr>
        <w:t>批  号:    M02HB176914</w:t>
      </w:r>
    </w:p>
    <w:p>
      <w:pPr>
        <w:pStyle w:val="10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hAnsi="宋体" w:eastAsia="宋体" w:cs="宋体"/>
          <w:color w:val="auto"/>
          <w:sz w:val="27"/>
          <w:lang w:eastAsia="zh-CN"/>
        </w:rPr>
      </w:pPr>
      <w:r>
        <w:rPr>
          <w:rFonts w:hint="eastAsia" w:ascii="宋体" w:hAnsi="宋体" w:eastAsia="宋体" w:cs="宋体"/>
          <w:color w:val="auto"/>
          <w:sz w:val="27"/>
          <w:lang w:eastAsia="zh-CN"/>
        </w:rPr>
        <w:t>定值日期:  202</w:t>
      </w:r>
      <w:r>
        <w:rPr>
          <w:rFonts w:hint="eastAsia" w:ascii="宋体" w:hAnsi="宋体" w:eastAsia="宋体" w:cs="宋体"/>
          <w:color w:val="auto"/>
          <w:sz w:val="27"/>
          <w:lang w:val="en-US" w:eastAsia="zh-CN"/>
        </w:rPr>
        <w:t>1</w:t>
      </w:r>
      <w:r>
        <w:rPr>
          <w:rFonts w:hint="eastAsia" w:ascii="宋体" w:hAnsi="宋体" w:eastAsia="宋体" w:cs="宋体"/>
          <w:color w:val="auto"/>
          <w:sz w:val="27"/>
          <w:lang w:eastAsia="zh-CN"/>
        </w:rPr>
        <w:t xml:space="preserve"> 年 </w:t>
      </w:r>
      <w:r>
        <w:rPr>
          <w:rFonts w:hint="eastAsia" w:ascii="宋体" w:hAnsi="宋体" w:eastAsia="宋体" w:cs="宋体"/>
          <w:color w:val="auto"/>
          <w:sz w:val="27"/>
          <w:lang w:val="en-US" w:eastAsia="zh-CN"/>
        </w:rPr>
        <w:t>02</w:t>
      </w:r>
      <w:r>
        <w:rPr>
          <w:rFonts w:hint="eastAsia" w:ascii="宋体" w:hAnsi="宋体" w:eastAsia="宋体" w:cs="宋体"/>
          <w:color w:val="auto"/>
          <w:sz w:val="27"/>
          <w:lang w:eastAsia="zh-CN"/>
        </w:rPr>
        <w:t xml:space="preserve"> 月 </w:t>
      </w:r>
      <w:r>
        <w:rPr>
          <w:rFonts w:hint="eastAsia" w:ascii="宋体" w:hAnsi="宋体" w:eastAsia="宋体" w:cs="宋体"/>
          <w:color w:val="auto"/>
          <w:sz w:val="27"/>
          <w:lang w:val="en-US" w:eastAsia="zh-CN"/>
        </w:rPr>
        <w:t>23</w:t>
      </w:r>
      <w:r>
        <w:rPr>
          <w:rFonts w:hint="eastAsia" w:ascii="宋体" w:hAnsi="宋体" w:eastAsia="宋体" w:cs="宋体"/>
          <w:color w:val="auto"/>
          <w:sz w:val="27"/>
          <w:lang w:eastAsia="zh-CN"/>
        </w:rPr>
        <w:t xml:space="preserve"> 日</w:t>
      </w:r>
    </w:p>
    <w:p>
      <w:pPr>
        <w:pStyle w:val="10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hAnsi="宋体" w:eastAsia="宋体" w:cs="宋体"/>
          <w:color w:val="auto"/>
          <w:sz w:val="27"/>
          <w:lang w:eastAsia="zh-CN"/>
        </w:rPr>
      </w:pPr>
      <w:r>
        <w:rPr>
          <w:rFonts w:hint="eastAsia" w:ascii="宋体" w:hAnsi="宋体" w:eastAsia="宋体" w:cs="宋体"/>
          <w:color w:val="auto"/>
          <w:sz w:val="27"/>
          <w:lang w:eastAsia="zh-CN"/>
        </w:rPr>
        <w:t>有效期至:  202</w:t>
      </w:r>
      <w:r>
        <w:rPr>
          <w:rFonts w:hint="eastAsia" w:ascii="宋体" w:hAnsi="宋体" w:eastAsia="宋体" w:cs="宋体"/>
          <w:color w:val="auto"/>
          <w:sz w:val="27"/>
          <w:lang w:val="en-US" w:eastAsia="zh-CN"/>
        </w:rPr>
        <w:t>5</w:t>
      </w:r>
      <w:r>
        <w:rPr>
          <w:rFonts w:hint="eastAsia" w:ascii="宋体" w:hAnsi="宋体" w:eastAsia="宋体" w:cs="宋体"/>
          <w:color w:val="auto"/>
          <w:sz w:val="27"/>
          <w:lang w:eastAsia="zh-CN"/>
        </w:rPr>
        <w:t xml:space="preserve"> 年 </w:t>
      </w:r>
      <w:r>
        <w:rPr>
          <w:rFonts w:hint="eastAsia" w:ascii="宋体" w:hAnsi="宋体" w:eastAsia="宋体" w:cs="宋体"/>
          <w:color w:val="auto"/>
          <w:sz w:val="27"/>
          <w:lang w:val="en-US" w:eastAsia="zh-CN"/>
        </w:rPr>
        <w:t>02</w:t>
      </w:r>
      <w:r>
        <w:rPr>
          <w:rFonts w:hint="eastAsia" w:ascii="宋体" w:hAnsi="宋体" w:eastAsia="宋体" w:cs="宋体"/>
          <w:color w:val="auto"/>
          <w:sz w:val="27"/>
          <w:lang w:eastAsia="zh-CN"/>
        </w:rPr>
        <w:t xml:space="preserve"> 月</w:t>
      </w:r>
      <w:r>
        <w:rPr>
          <w:rFonts w:hint="eastAsia" w:ascii="宋体" w:hAnsi="宋体" w:eastAsia="宋体" w:cs="宋体"/>
          <w:color w:val="auto"/>
          <w:sz w:val="27"/>
          <w:lang w:val="en-US" w:eastAsia="zh-CN"/>
        </w:rPr>
        <w:t xml:space="preserve"> 27 </w:t>
      </w:r>
      <w:r>
        <w:rPr>
          <w:rFonts w:hint="eastAsia" w:ascii="宋体" w:hAnsi="宋体" w:eastAsia="宋体" w:cs="宋体"/>
          <w:color w:val="auto"/>
          <w:sz w:val="27"/>
          <w:lang w:eastAsia="zh-CN"/>
        </w:rPr>
        <w:t>日</w:t>
      </w: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  <w:r>
        <w:rPr>
          <w:rFonts w:hint="eastAsia" w:ascii="宋体" w:hAnsi="宋体" w:eastAsia="宋体" w:cs="宋体"/>
          <w:color w:val="auto"/>
          <w:sz w:val="24"/>
        </w:rPr>
        <w:t>本标准物质主要用于测量仪器校准,分析方法评价和质量控制,以及食品、卫生、环境和农业等相关领域相应成分含量测定与残留检测，也可用于量值溯源或作为标液储备溶液，通过逐级稀释配置成各种工作用标准溶液等。</w:t>
      </w:r>
    </w:p>
    <w:p>
      <w:pPr>
        <w:spacing w:line="400" w:lineRule="exact"/>
        <w:rPr>
          <w:rFonts w:ascii="宋体" w:hAnsi="宋体" w:eastAsia="宋体" w:cs="宋体"/>
          <w:color w:val="000000"/>
          <w:sz w:val="24"/>
        </w:rPr>
      </w:pPr>
      <w:r>
        <w:rPr>
          <w:rFonts w:hint="eastAsia" w:ascii="宋体" w:hAnsi="宋体" w:eastAsia="宋体" w:cs="宋体"/>
          <w:color w:val="000000"/>
          <w:sz w:val="28"/>
          <w:szCs w:val="28"/>
        </w:rPr>
        <w:t>一、样品制备</w:t>
      </w:r>
    </w:p>
    <w:p>
      <w:pPr>
        <w:pStyle w:val="9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本标准物质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采用纯度准确定值的哒草伏纯品为原料，以HPLC级甲醇为溶剂，采用重量-容量法准确配置而成。</w:t>
      </w:r>
    </w:p>
    <w:p>
      <w:pPr>
        <w:pStyle w:val="9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hint="default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哒草伏(别名：氟草敏)，英文名称：Norflurazon，CAS号：27314-13-2</w:t>
      </w:r>
    </w:p>
    <w:p>
      <w:pPr>
        <w:pStyle w:val="9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hAnsi="宋体" w:eastAsia="宋体" w:cs="宋体"/>
          <w:color w:val="000000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000000"/>
          <w:sz w:val="28"/>
          <w:szCs w:val="28"/>
          <w:lang w:val="en-US" w:eastAsia="zh-CN"/>
        </w:rPr>
        <w:t>二</w:t>
      </w:r>
      <w:r>
        <w:rPr>
          <w:rFonts w:hint="eastAsia" w:ascii="宋体" w:hAnsi="宋体" w:eastAsia="宋体" w:cs="宋体"/>
          <w:color w:val="000000"/>
          <w:sz w:val="28"/>
          <w:szCs w:val="28"/>
          <w:lang w:eastAsia="zh-CN"/>
        </w:rPr>
        <w:t>、溯源性及定值方法</w:t>
      </w:r>
    </w:p>
    <w:p>
      <w:pPr>
        <w:pStyle w:val="9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auto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本标准物质以配置值作为标准值，采用高效液相色谱法-二级管阵列检测器（HPLC-DAD）对本批次标准物质和质量控制对照样品进行比对，核验配制值。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通过使用满足计量学特性要求的制备方法,测量方法和计量器具,保证标准物质的量值溯源性。</w:t>
      </w:r>
    </w:p>
    <w:p>
      <w:pPr>
        <w:spacing w:line="400" w:lineRule="exact"/>
        <w:rPr>
          <w:rFonts w:ascii="宋体" w:hAnsi="宋体" w:eastAsia="宋体" w:cs="宋体"/>
          <w:color w:val="000000"/>
          <w:sz w:val="28"/>
          <w:szCs w:val="28"/>
          <w:lang w:val="ru-RU"/>
        </w:rPr>
      </w:pPr>
      <w:r>
        <w:rPr>
          <w:rFonts w:hint="eastAsia" w:ascii="宋体" w:hAnsi="宋体" w:eastAsia="宋体" w:cs="宋体"/>
          <w:color w:val="000000"/>
          <w:sz w:val="28"/>
          <w:szCs w:val="28"/>
        </w:rPr>
        <w:t>三、特性量值及不确定度</w:t>
      </w:r>
    </w:p>
    <w:tbl>
      <w:tblPr>
        <w:tblStyle w:val="6"/>
        <w:tblW w:w="852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41"/>
        <w:gridCol w:w="2434"/>
        <w:gridCol w:w="1848"/>
        <w:gridCol w:w="329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41" w:type="dxa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auto"/>
                <w:sz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</w:rPr>
              <w:t>编号</w:t>
            </w:r>
          </w:p>
        </w:tc>
        <w:tc>
          <w:tcPr>
            <w:tcW w:w="2434" w:type="dxa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auto"/>
                <w:sz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</w:rPr>
              <w:t>名称</w:t>
            </w:r>
          </w:p>
        </w:tc>
        <w:tc>
          <w:tcPr>
            <w:tcW w:w="1848" w:type="dxa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auto"/>
                <w:sz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</w:rPr>
              <w:t>标准值（ug/mL）</w:t>
            </w:r>
          </w:p>
        </w:tc>
        <w:tc>
          <w:tcPr>
            <w:tcW w:w="3299" w:type="dxa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auto"/>
                <w:sz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</w:rPr>
              <w:t>相对扩展不确定度（%）(k=2)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1" w:hRule="atLeast"/>
        </w:trPr>
        <w:tc>
          <w:tcPr>
            <w:tcW w:w="941" w:type="dxa"/>
          </w:tcPr>
          <w:p>
            <w:pPr>
              <w:spacing w:line="400" w:lineRule="exact"/>
              <w:jc w:val="center"/>
              <w:rPr>
                <w:rFonts w:hint="default" w:ascii="宋体" w:hAnsi="宋体" w:eastAsia="宋体" w:cs="宋体"/>
                <w:color w:val="auto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</w:rPr>
              <w:t>B</w:t>
            </w:r>
            <w:r>
              <w:rPr>
                <w:rFonts w:hint="eastAsia" w:ascii="宋体" w:hAnsi="宋体" w:eastAsia="宋体" w:cs="宋体"/>
                <w:color w:val="auto"/>
                <w:sz w:val="24"/>
                <w:lang w:val="en-US" w:eastAsia="zh-CN"/>
              </w:rPr>
              <w:t>61546</w:t>
            </w:r>
          </w:p>
        </w:tc>
        <w:tc>
          <w:tcPr>
            <w:tcW w:w="2434" w:type="dxa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auto"/>
                <w:sz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lang w:val="en-US" w:eastAsia="zh-CN"/>
              </w:rPr>
              <w:t>甲醇中哒草伏</w:t>
            </w:r>
          </w:p>
        </w:tc>
        <w:tc>
          <w:tcPr>
            <w:tcW w:w="1848" w:type="dxa"/>
          </w:tcPr>
          <w:p>
            <w:pPr>
              <w:spacing w:line="40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</w:rPr>
              <w:t>100</w:t>
            </w:r>
            <w:r>
              <w:rPr>
                <w:rFonts w:hint="eastAsia" w:ascii="宋体" w:hAnsi="宋体" w:eastAsia="宋体" w:cs="宋体"/>
                <w:color w:val="auto"/>
                <w:sz w:val="24"/>
                <w:lang w:val="en-US" w:eastAsia="zh-CN"/>
              </w:rPr>
              <w:t>0</w:t>
            </w:r>
          </w:p>
        </w:tc>
        <w:tc>
          <w:tcPr>
            <w:tcW w:w="3299" w:type="dxa"/>
          </w:tcPr>
          <w:p>
            <w:pPr>
              <w:spacing w:line="40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lang w:val="en-US" w:eastAsia="zh-CN"/>
              </w:rPr>
              <w:t>2</w:t>
            </w:r>
          </w:p>
        </w:tc>
      </w:tr>
    </w:tbl>
    <w:p>
      <w:pPr>
        <w:spacing w:line="400" w:lineRule="exact"/>
        <w:rPr>
          <w:rFonts w:ascii="宋体" w:hAnsi="宋体" w:eastAsia="宋体" w:cs="宋体"/>
          <w:color w:val="FF0000"/>
          <w:sz w:val="24"/>
        </w:rPr>
      </w:pPr>
      <w:r>
        <w:rPr>
          <w:rFonts w:hint="eastAsia" w:ascii="宋体" w:hAnsi="宋体" w:eastAsia="宋体" w:cs="宋体"/>
          <w:color w:val="000000" w:themeColor="text1"/>
          <w:szCs w:val="21"/>
          <w14:textFill>
            <w14:solidFill>
              <w14:schemeClr w14:val="tx1"/>
            </w14:solidFill>
          </w14:textFill>
        </w:rPr>
        <w:t>标准值的不确定度主要由原料纯度，称量，定容以及均匀性，稳定性等不确定度分量合成。</w:t>
      </w:r>
    </w:p>
    <w:p>
      <w:pPr>
        <w:spacing w:line="400" w:lineRule="exact"/>
        <w:rPr>
          <w:rFonts w:ascii="宋体" w:hAnsi="宋体" w:eastAsia="宋体" w:cs="宋体"/>
          <w:color w:val="000000"/>
          <w:sz w:val="24"/>
        </w:rPr>
      </w:pPr>
      <w:r>
        <w:rPr>
          <w:rFonts w:hint="eastAsia" w:ascii="宋体" w:hAnsi="宋体" w:eastAsia="宋体" w:cs="宋体"/>
          <w:color w:val="000000"/>
          <w:sz w:val="28"/>
          <w:szCs w:val="28"/>
        </w:rPr>
        <w:t>四、均匀性检验及稳定性考察</w:t>
      </w:r>
    </w:p>
    <w:p>
      <w:pPr>
        <w:pStyle w:val="9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依据JJF1343-2012[标准物质定值的通用原则及统计学原理]，对分装后的样品进行随机抽样，对溶液浓度进行均匀性检验，稳定性考察。结果表明，本标准物质均匀性、稳定性良好。</w:t>
      </w:r>
    </w:p>
    <w:p>
      <w:pPr>
        <w:pStyle w:val="9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本标准物质自定值日期起，有效期48个月，</w:t>
      </w: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研制单位将继续监测该标准物质的稳定性，有效期内如发现量值变化，将及时通知用户。</w:t>
      </w:r>
    </w:p>
    <w:p>
      <w:pPr>
        <w:pStyle w:val="9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000000"/>
          <w:sz w:val="24"/>
          <w:szCs w:val="24"/>
          <w:lang w:val="en-US" w:eastAsia="zh-CN"/>
        </w:rPr>
      </w:pPr>
    </w:p>
    <w:p>
      <w:pPr>
        <w:spacing w:line="400" w:lineRule="exact"/>
        <w:rPr>
          <w:rFonts w:ascii="宋体" w:hAnsi="宋体" w:eastAsia="宋体" w:cs="宋体"/>
          <w:color w:val="000000"/>
          <w:sz w:val="28"/>
          <w:szCs w:val="28"/>
        </w:rPr>
      </w:pPr>
      <w:r>
        <w:rPr>
          <w:rFonts w:hint="eastAsia" w:ascii="宋体" w:hAnsi="宋体" w:eastAsia="宋体" w:cs="宋体"/>
          <w:color w:val="000000"/>
          <w:sz w:val="28"/>
          <w:szCs w:val="28"/>
        </w:rPr>
        <w:t>五、包装、运输和贮存、使用及注意事项</w:t>
      </w: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  <w:r>
        <w:rPr>
          <w:rFonts w:hint="eastAsia" w:ascii="宋体" w:hAnsi="宋体" w:eastAsia="宋体" w:cs="宋体"/>
          <w:color w:val="000000"/>
          <w:sz w:val="24"/>
        </w:rPr>
        <w:t>1.包装: 本标准物质采</w:t>
      </w:r>
      <w:r>
        <w:rPr>
          <w:rFonts w:hint="eastAsia" w:ascii="宋体" w:hAnsi="宋体" w:eastAsia="宋体" w:cs="宋体"/>
          <w:color w:val="auto"/>
          <w:sz w:val="24"/>
        </w:rPr>
        <w:t>用硼硅酸盐玻璃安瓿瓶包装，约1</w:t>
      </w:r>
      <w:bookmarkStart w:id="0" w:name="_GoBack"/>
      <w:bookmarkEnd w:id="0"/>
      <w:r>
        <w:rPr>
          <w:rFonts w:hint="eastAsia" w:ascii="宋体" w:hAnsi="宋体" w:eastAsia="宋体" w:cs="宋体"/>
          <w:color w:val="auto"/>
          <w:sz w:val="24"/>
        </w:rPr>
        <w:t xml:space="preserve"> mL/支，移取或稀释时请以移液管量取为准。</w:t>
      </w:r>
    </w:p>
    <w:p>
      <w:pPr>
        <w:pStyle w:val="9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auto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 xml:space="preserve">2.运输和贮存: 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常温运输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,运输时应避免挤压,碰撞；冷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藏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、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避光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条件下贮存。</w:t>
      </w:r>
    </w:p>
    <w:p>
      <w:pPr>
        <w:pStyle w:val="9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000000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 xml:space="preserve">3.使用: 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启封前于室温（20±3℃）平衡，并充分摇匀。</w:t>
      </w: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安瓿瓶一经打开，应立即使用，不可再次熔封后作为标准物质使用。</w:t>
      </w:r>
    </w:p>
    <w:p>
      <w:pPr>
        <w:rPr>
          <w:rFonts w:ascii="宋体" w:hAnsi="宋体" w:eastAsia="宋体" w:cs="宋体"/>
          <w:b/>
          <w:bCs/>
          <w:sz w:val="18"/>
          <w:szCs w:val="18"/>
        </w:rPr>
      </w:pPr>
    </w:p>
    <w:p>
      <w:pPr>
        <w:rPr>
          <w:rFonts w:ascii="宋体" w:hAnsi="宋体" w:eastAsia="宋体" w:cs="宋体"/>
          <w:b/>
          <w:bCs/>
          <w:sz w:val="18"/>
          <w:szCs w:val="18"/>
        </w:rPr>
      </w:pPr>
      <w:r>
        <w:rPr>
          <w:rFonts w:hint="eastAsia" w:ascii="宋体" w:hAnsi="宋体" w:eastAsia="宋体" w:cs="宋体"/>
          <w:b/>
          <w:bCs/>
          <w:sz w:val="18"/>
          <w:szCs w:val="18"/>
        </w:rPr>
        <w:t>声明</w:t>
      </w:r>
    </w:p>
    <w:p>
      <w:pPr>
        <w:widowControl/>
        <w:spacing w:line="300" w:lineRule="exact"/>
        <w:rPr>
          <w:rFonts w:ascii="宋体" w:hAnsi="宋体" w:eastAsia="宋体" w:cs="宋体"/>
          <w:sz w:val="18"/>
          <w:szCs w:val="18"/>
        </w:rPr>
      </w:pPr>
      <w:r>
        <w:rPr>
          <w:rFonts w:hint="eastAsia" w:ascii="宋体" w:hAnsi="宋体" w:eastAsia="宋体" w:cs="宋体"/>
          <w:sz w:val="18"/>
          <w:szCs w:val="18"/>
        </w:rPr>
        <w:t>1.本标准物质仅供实验室研究与分析测试工作使用。因用户使用或存储不当所引起的投诉，不予承担责任。</w:t>
      </w:r>
    </w:p>
    <w:p>
      <w:pPr>
        <w:widowControl/>
        <w:spacing w:line="300" w:lineRule="exact"/>
        <w:rPr>
          <w:rFonts w:ascii="宋体" w:hAnsi="宋体" w:eastAsia="宋体" w:cs="宋体"/>
          <w:sz w:val="18"/>
          <w:szCs w:val="18"/>
        </w:rPr>
      </w:pPr>
      <w:r>
        <w:rPr>
          <w:rFonts w:hint="eastAsia" w:ascii="宋体" w:hAnsi="宋体" w:eastAsia="宋体" w:cs="宋体"/>
          <w:sz w:val="18"/>
          <w:szCs w:val="18"/>
        </w:rPr>
        <w:t>2.收到后请立即核对品种、数量和包装，相关赔偿只限于标准物质本身，不涉及其他任何损失。</w:t>
      </w:r>
    </w:p>
    <w:p>
      <w:pPr>
        <w:widowControl/>
        <w:spacing w:line="300" w:lineRule="exact"/>
        <w:rPr>
          <w:rFonts w:ascii="宋体" w:hAnsi="宋体" w:eastAsia="宋体" w:cs="宋体"/>
          <w:sz w:val="18"/>
          <w:szCs w:val="18"/>
        </w:rPr>
      </w:pPr>
      <w:r>
        <w:rPr>
          <w:rFonts w:hint="eastAsia" w:ascii="宋体" w:hAnsi="宋体" w:eastAsia="宋体" w:cs="宋体"/>
          <w:sz w:val="18"/>
          <w:szCs w:val="18"/>
        </w:rPr>
        <w:t>3.仅对加盖“上海源叶生物质检专用章”的完整证书负责。请妥善保管此证书。</w:t>
      </w:r>
    </w:p>
    <w:p>
      <w:pPr>
        <w:widowControl/>
        <w:spacing w:line="300" w:lineRule="exact"/>
        <w:rPr>
          <w:rFonts w:ascii="宋体" w:hAnsi="宋体" w:eastAsia="宋体" w:cs="宋体"/>
          <w:sz w:val="18"/>
          <w:szCs w:val="18"/>
        </w:rPr>
      </w:pPr>
      <w:r>
        <w:rPr>
          <w:rFonts w:hint="eastAsia" w:ascii="宋体" w:hAnsi="宋体" w:eastAsia="宋体" w:cs="宋体"/>
          <w:sz w:val="18"/>
          <w:szCs w:val="18"/>
        </w:rPr>
        <w:t>4.如需获得更多与使用有关的信息，请与技术部门联系。</w:t>
      </w:r>
    </w:p>
    <w:p>
      <w:pPr>
        <w:widowControl/>
        <w:spacing w:line="300" w:lineRule="exact"/>
        <w:rPr>
          <w:rFonts w:ascii="宋体" w:hAnsi="宋体" w:eastAsia="宋体" w:cs="宋体"/>
          <w:szCs w:val="21"/>
        </w:rPr>
      </w:pPr>
    </w:p>
    <w:p>
      <w:pPr>
        <w:rPr>
          <w:rFonts w:ascii="宋体" w:hAnsi="宋体" w:eastAsia="宋体" w:cs="宋体"/>
          <w:color w:val="000000"/>
          <w:sz w:val="27"/>
        </w:rPr>
      </w:pPr>
      <w:r>
        <w:rPr>
          <w:rFonts w:ascii="宋体" w:hAnsi="宋体" w:eastAsia="宋体" w:cs="宋体"/>
          <w:sz w:val="27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1188085</wp:posOffset>
                </wp:positionH>
                <wp:positionV relativeFrom="paragraph">
                  <wp:posOffset>137795</wp:posOffset>
                </wp:positionV>
                <wp:extent cx="4078605" cy="1207135"/>
                <wp:effectExtent l="0" t="0" r="0" b="0"/>
                <wp:wrapNone/>
                <wp:docPr id="3" name="文本框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2463800" y="1109345"/>
                          <a:ext cx="4078605" cy="96583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240" w:lineRule="exact"/>
                              <w:textAlignment w:val="auto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研制单位：上海源叶生物科技有限公司    热线电话：4006665481</w:t>
                            </w:r>
                          </w:p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240" w:lineRule="exact"/>
                              <w:textAlignment w:val="auto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官网网址：</w:t>
                            </w:r>
                            <w:r>
                              <w:fldChar w:fldCharType="begin"/>
                            </w:r>
                            <w:r>
                              <w:instrText xml:space="preserve"> HYPERLINK "http://www.shyuanye.com"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8"/>
                                <w:rFonts w:hint="eastAsia"/>
                                <w:sz w:val="18"/>
                                <w:szCs w:val="18"/>
                              </w:rPr>
                              <w:t>www.shyuanye.com</w:t>
                            </w:r>
                            <w:r>
                              <w:rPr>
                                <w:rStyle w:val="8"/>
                                <w:rFonts w:hint="eastAsia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           传真：021-55068248</w:t>
                            </w:r>
                          </w:p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240" w:lineRule="exact"/>
                              <w:textAlignment w:val="auto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技术咨询：1381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  <w:lang w:val="en-US" w:eastAsia="zh-CN"/>
                              </w:rPr>
                              <w:t>79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23140                技术邮箱：</w:t>
                            </w:r>
                            <w:r>
                              <w:fldChar w:fldCharType="begin"/>
                            </w:r>
                            <w:r>
                              <w:instrText xml:space="preserve"> HYPERLINK "mailto:3008007419@qq.com"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8"/>
                                <w:rFonts w:hint="eastAsia"/>
                                <w:sz w:val="18"/>
                                <w:szCs w:val="18"/>
                              </w:rPr>
                              <w:t>3008007419@qq.com</w:t>
                            </w:r>
                            <w:r>
                              <w:rPr>
                                <w:rStyle w:val="8"/>
                                <w:rFonts w:hint="eastAsia"/>
                                <w:sz w:val="18"/>
                                <w:szCs w:val="18"/>
                              </w:rPr>
                              <w:fldChar w:fldCharType="end"/>
                            </w:r>
                          </w:p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240" w:lineRule="exact"/>
                              <w:textAlignment w:val="auto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单位地址：上海市松江区长塔路465号6幢</w:t>
                            </w:r>
                          </w:p>
                          <w:p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93.55pt;margin-top:10.85pt;height:95.05pt;width:321.15pt;z-index:251659264;mso-width-relative:page;mso-height-relative:page;" filled="f" stroked="f" coordsize="21600,21600" o:gfxdata="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pPr>
                        <w:keepNext w:val="0"/>
                        <w:keepLines w:val="0"/>
                        <w:pageBreakBefore w:val="0"/>
                        <w:widowControl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240" w:lineRule="exact"/>
                        <w:textAlignment w:val="auto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研制单位：上海源叶生物科技有限公司    热线电话：4006665481</w:t>
                      </w:r>
                    </w:p>
                    <w:p>
                      <w:pPr>
                        <w:keepNext w:val="0"/>
                        <w:keepLines w:val="0"/>
                        <w:pageBreakBefore w:val="0"/>
                        <w:widowControl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240" w:lineRule="exact"/>
                        <w:textAlignment w:val="auto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官网网址：</w:t>
                      </w:r>
                      <w:r>
                        <w:fldChar w:fldCharType="begin"/>
                      </w:r>
                      <w:r>
                        <w:instrText xml:space="preserve"> HYPERLINK "http://www.shyuanye.com" </w:instrText>
                      </w:r>
                      <w:r>
                        <w:fldChar w:fldCharType="separate"/>
                      </w:r>
                      <w:r>
                        <w:rPr>
                          <w:rStyle w:val="8"/>
                          <w:rFonts w:hint="eastAsia"/>
                          <w:sz w:val="18"/>
                          <w:szCs w:val="18"/>
                        </w:rPr>
                        <w:t>www.shyuanye.com</w:t>
                      </w:r>
                      <w:r>
                        <w:rPr>
                          <w:rStyle w:val="8"/>
                          <w:rFonts w:hint="eastAsia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 xml:space="preserve">           传真：021-55068248</w:t>
                      </w:r>
                    </w:p>
                    <w:p>
                      <w:pPr>
                        <w:keepNext w:val="0"/>
                        <w:keepLines w:val="0"/>
                        <w:pageBreakBefore w:val="0"/>
                        <w:widowControl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240" w:lineRule="exact"/>
                        <w:textAlignment w:val="auto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技术咨询：1381</w:t>
                      </w:r>
                      <w:r>
                        <w:rPr>
                          <w:rFonts w:hint="eastAsia"/>
                          <w:sz w:val="18"/>
                          <w:szCs w:val="18"/>
                          <w:lang w:val="en-US" w:eastAsia="zh-CN"/>
                        </w:rPr>
                        <w:t>79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23140                技术邮箱：</w:t>
                      </w:r>
                      <w:r>
                        <w:fldChar w:fldCharType="begin"/>
                      </w:r>
                      <w:r>
                        <w:instrText xml:space="preserve"> HYPERLINK "mailto:3008007419@qq.com" </w:instrText>
                      </w:r>
                      <w:r>
                        <w:fldChar w:fldCharType="separate"/>
                      </w:r>
                      <w:r>
                        <w:rPr>
                          <w:rStyle w:val="8"/>
                          <w:rFonts w:hint="eastAsia"/>
                          <w:sz w:val="18"/>
                          <w:szCs w:val="18"/>
                        </w:rPr>
                        <w:t>3008007419@qq.com</w:t>
                      </w:r>
                      <w:r>
                        <w:rPr>
                          <w:rStyle w:val="8"/>
                          <w:rFonts w:hint="eastAsia"/>
                          <w:sz w:val="18"/>
                          <w:szCs w:val="18"/>
                        </w:rPr>
                        <w:fldChar w:fldCharType="end"/>
                      </w:r>
                    </w:p>
                    <w:p>
                      <w:pPr>
                        <w:keepNext w:val="0"/>
                        <w:keepLines w:val="0"/>
                        <w:pageBreakBefore w:val="0"/>
                        <w:widowControl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240" w:lineRule="exact"/>
                        <w:textAlignment w:val="auto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单位地址：上海市松江区长塔路465号6幢</w:t>
                      </w:r>
                    </w:p>
                    <w:p/>
                  </w:txbxContent>
                </v:textbox>
              </v:shape>
            </w:pict>
          </mc:Fallback>
        </mc:AlternateContent>
      </w:r>
      <w:r>
        <w:rPr>
          <w:rFonts w:hint="eastAsia" w:ascii="宋体" w:hAnsi="宋体" w:eastAsia="宋体" w:cs="宋体"/>
          <w:color w:val="000000"/>
          <w:sz w:val="27"/>
        </w:rPr>
        <w:drawing>
          <wp:inline distT="0" distB="0" distL="114300" distR="114300">
            <wp:extent cx="1139825" cy="1139825"/>
            <wp:effectExtent l="0" t="0" r="3175" b="3175"/>
            <wp:docPr id="2" name="图片 2" descr="图片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图片1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139825" cy="1139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sz w:val="24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2787"/>
    <w:rsid w:val="000A27FD"/>
    <w:rsid w:val="000D109E"/>
    <w:rsid w:val="00274F95"/>
    <w:rsid w:val="004A2DF7"/>
    <w:rsid w:val="00870DD5"/>
    <w:rsid w:val="008D5985"/>
    <w:rsid w:val="009518C5"/>
    <w:rsid w:val="00A10FC9"/>
    <w:rsid w:val="00B15AA5"/>
    <w:rsid w:val="00D52787"/>
    <w:rsid w:val="00E27895"/>
    <w:rsid w:val="00E8473F"/>
    <w:rsid w:val="03747AFA"/>
    <w:rsid w:val="083349B1"/>
    <w:rsid w:val="0A9178F5"/>
    <w:rsid w:val="0B0A18F7"/>
    <w:rsid w:val="0C337E62"/>
    <w:rsid w:val="0D7161B9"/>
    <w:rsid w:val="0DB55C74"/>
    <w:rsid w:val="159E0138"/>
    <w:rsid w:val="18B47D79"/>
    <w:rsid w:val="1ACB7423"/>
    <w:rsid w:val="1B9E73A9"/>
    <w:rsid w:val="1CA86410"/>
    <w:rsid w:val="208573F9"/>
    <w:rsid w:val="21B5540B"/>
    <w:rsid w:val="22B22269"/>
    <w:rsid w:val="235D2BD8"/>
    <w:rsid w:val="24660F48"/>
    <w:rsid w:val="28E8199C"/>
    <w:rsid w:val="2A3F6D06"/>
    <w:rsid w:val="2C6C4915"/>
    <w:rsid w:val="2D8A0633"/>
    <w:rsid w:val="2FCD7F57"/>
    <w:rsid w:val="31B328CE"/>
    <w:rsid w:val="32082C73"/>
    <w:rsid w:val="32E208AC"/>
    <w:rsid w:val="34AF5DFB"/>
    <w:rsid w:val="383006CD"/>
    <w:rsid w:val="3A9A12C1"/>
    <w:rsid w:val="3E060958"/>
    <w:rsid w:val="3E3F7458"/>
    <w:rsid w:val="3F4819C0"/>
    <w:rsid w:val="40547DBC"/>
    <w:rsid w:val="45A96F17"/>
    <w:rsid w:val="46ED5CDD"/>
    <w:rsid w:val="4D201F04"/>
    <w:rsid w:val="4D9A7C3A"/>
    <w:rsid w:val="50E964D4"/>
    <w:rsid w:val="597A1264"/>
    <w:rsid w:val="5D3748F8"/>
    <w:rsid w:val="5DB702D2"/>
    <w:rsid w:val="5DB85BB6"/>
    <w:rsid w:val="5F0B4202"/>
    <w:rsid w:val="5F315CF9"/>
    <w:rsid w:val="5F8E596F"/>
    <w:rsid w:val="631F6CA8"/>
    <w:rsid w:val="651B2165"/>
    <w:rsid w:val="69176DB0"/>
    <w:rsid w:val="69F027AB"/>
    <w:rsid w:val="75C21D45"/>
    <w:rsid w:val="77060FAD"/>
    <w:rsid w:val="78D33D64"/>
    <w:rsid w:val="79356D60"/>
    <w:rsid w:val="7AB95B7D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after="200" w:line="276" w:lineRule="auto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nhideWhenUsed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3"/>
    <w:qFormat/>
    <w:uiPriority w:val="0"/>
    <w:pPr>
      <w:spacing w:after="0" w:line="240" w:lineRule="auto"/>
    </w:pPr>
    <w:rPr>
      <w:rFonts w:ascii="微软雅黑" w:eastAsia="微软雅黑"/>
      <w:sz w:val="18"/>
      <w:szCs w:val="18"/>
    </w:rPr>
  </w:style>
  <w:style w:type="paragraph" w:styleId="3">
    <w:name w:val="footer"/>
    <w:basedOn w:val="1"/>
    <w:link w:val="12"/>
    <w:qFormat/>
    <w:uiPriority w:val="0"/>
    <w:pPr>
      <w:tabs>
        <w:tab w:val="center" w:pos="4680"/>
        <w:tab w:val="right" w:pos="9360"/>
      </w:tabs>
      <w:spacing w:after="0" w:line="240" w:lineRule="auto"/>
    </w:pPr>
  </w:style>
  <w:style w:type="paragraph" w:styleId="4">
    <w:name w:val="header"/>
    <w:basedOn w:val="1"/>
    <w:link w:val="11"/>
    <w:qFormat/>
    <w:uiPriority w:val="0"/>
    <w:pPr>
      <w:tabs>
        <w:tab w:val="center" w:pos="4680"/>
        <w:tab w:val="right" w:pos="9360"/>
      </w:tabs>
      <w:spacing w:after="0" w:line="240" w:lineRule="auto"/>
    </w:p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8">
    <w:name w:val="Hyperlink"/>
    <w:basedOn w:val="7"/>
    <w:qFormat/>
    <w:uiPriority w:val="0"/>
    <w:rPr>
      <w:color w:val="0000FF"/>
      <w:u w:val="single"/>
    </w:rPr>
  </w:style>
  <w:style w:type="paragraph" w:customStyle="1" w:styleId="9">
    <w:name w:val="Normal_1"/>
    <w:qFormat/>
    <w:uiPriority w:val="0"/>
    <w:pPr>
      <w:spacing w:before="120" w:after="240" w:line="276" w:lineRule="auto"/>
      <w:jc w:val="both"/>
    </w:pPr>
    <w:rPr>
      <w:rFonts w:ascii="Calibri" w:hAnsi="Calibri" w:eastAsia="Calibri" w:cs="Times New Roman"/>
      <w:sz w:val="22"/>
      <w:szCs w:val="22"/>
      <w:lang w:val="ru-RU" w:eastAsia="en-US" w:bidi="ar-SA"/>
    </w:rPr>
  </w:style>
  <w:style w:type="paragraph" w:customStyle="1" w:styleId="10">
    <w:name w:val="Normal_0"/>
    <w:qFormat/>
    <w:uiPriority w:val="0"/>
    <w:pPr>
      <w:spacing w:before="120" w:after="240" w:line="276" w:lineRule="auto"/>
      <w:jc w:val="both"/>
    </w:pPr>
    <w:rPr>
      <w:rFonts w:ascii="Calibri" w:hAnsi="Calibri" w:eastAsia="Calibri" w:cs="Times New Roman"/>
      <w:sz w:val="22"/>
      <w:szCs w:val="22"/>
      <w:lang w:val="ru-RU" w:eastAsia="en-US" w:bidi="ar-SA"/>
    </w:rPr>
  </w:style>
  <w:style w:type="character" w:customStyle="1" w:styleId="11">
    <w:name w:val="页眉 Char"/>
    <w:basedOn w:val="7"/>
    <w:link w:val="4"/>
    <w:qFormat/>
    <w:uiPriority w:val="0"/>
    <w:rPr>
      <w:rFonts w:asciiTheme="minorHAnsi" w:hAnsiTheme="minorHAnsi" w:eastAsiaTheme="minorEastAsia" w:cstheme="minorBidi"/>
      <w:kern w:val="2"/>
      <w:sz w:val="21"/>
      <w:szCs w:val="24"/>
    </w:rPr>
  </w:style>
  <w:style w:type="character" w:customStyle="1" w:styleId="12">
    <w:name w:val="页脚 Char"/>
    <w:basedOn w:val="7"/>
    <w:link w:val="3"/>
    <w:qFormat/>
    <w:uiPriority w:val="0"/>
    <w:rPr>
      <w:rFonts w:asciiTheme="minorHAnsi" w:hAnsiTheme="minorHAnsi" w:eastAsiaTheme="minorEastAsia" w:cstheme="minorBidi"/>
      <w:kern w:val="2"/>
      <w:sz w:val="21"/>
      <w:szCs w:val="24"/>
    </w:rPr>
  </w:style>
  <w:style w:type="character" w:customStyle="1" w:styleId="13">
    <w:name w:val="批注框文本 Char"/>
    <w:basedOn w:val="7"/>
    <w:link w:val="2"/>
    <w:qFormat/>
    <w:uiPriority w:val="0"/>
    <w:rPr>
      <w:rFonts w:ascii="微软雅黑" w:eastAsia="微软雅黑" w:hAnsiTheme="minorHAnsi" w:cstheme="minorBid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image" Target="media/image3.png"/><Relationship Id="rId7" Type="http://schemas.openxmlformats.org/officeDocument/2006/relationships/image" Target="media/image2.png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txDef>
      <a:spPr>
        <a:solidFill>
          <a:schemeClr val="lt1"/>
        </a:solidFill>
        <a:ln w="6350">
          <a:solidFill>
            <a:prstClr val="black"/>
          </a:solidFill>
        </a:ln>
      </a:spPr>
      <a:bodyPr rot="0" vertOverflow="overflow" horzOverflow="overflow" vert="horz" wrap="square" lIns="91440" tIns="45720" rIns="91440" bIns="45720" numCol="1" spcCol="0" rtlCol="0" fromWordArt="0" anchor="t" anchorCtr="0" forceAA="0" compatLnSpc="1"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dk1"/>
        </a:fontRef>
      </a:style>
    </a:txDef>
  </a:objectDefaults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4</Pages>
  <Words>937</Words>
  <Characters>304</Characters>
  <Lines>2</Lines>
  <Paragraphs>2</Paragraphs>
  <TotalTime>11</TotalTime>
  <ScaleCrop>false</ScaleCrop>
  <LinksUpToDate>false</LinksUpToDate>
  <CharactersWithSpaces>1239</CharactersWithSpaces>
  <Application>WPS Office_11.1.0.11365_F1E327BC-269C-435d-A152-05C5408002CA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2020-12-30T09:28:00Z</dcterms:created>
  <dc:creator>86138</dc:creator>
  <cp:lastModifiedBy>16542</cp:lastModifiedBy>
  <dcterms:modified xsi:type="dcterms:W3CDTF">2022-03-03T07:05:36Z</dcterms:modified>
  <cp:revision>12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2052-11.1.0.11365</vt:lpwstr>
  </property>
  <property fmtid="{D5CDD505-2E9C-101B-9397-08002B2CF9AE}" pid="3" name="ICV">
    <vt:lpwstr>ADF8292595FA40C6AD34F44DD3AD7588</vt:lpwstr>
  </property>
</Properties>
</file>