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400" w:lineRule="exact"/>
        <w:ind w:firstLine="480" w:firstLineChars="200"/>
        <w:rPr>
          <w:rFonts w:ascii="宋体" w:hAnsi="宋体" w:eastAsia="宋体" w:cs="宋体"/>
          <w:sz w:val="24"/>
        </w:rPr>
      </w:pPr>
    </w:p>
    <w:p>
      <w:pPr>
        <w:pStyle w:val="13"/>
        <w:framePr w:w="2250" w:wrap="around" w:vAnchor="page" w:hAnchor="page" w:x="2146" w:y="2328"/>
        <w:widowControl w:val="0"/>
        <w:autoSpaceDE w:val="0"/>
        <w:autoSpaceDN w:val="0"/>
        <w:adjustRightInd w:val="0"/>
        <w:spacing w:before="0" w:after="0" w:line="300" w:lineRule="exact"/>
        <w:jc w:val="left"/>
        <w:rPr>
          <w:rFonts w:ascii="宋体" w:hAnsi="宋体" w:eastAsia="宋体" w:cs="宋体"/>
          <w:sz w:val="30"/>
          <w:lang w:val="en-US" w:eastAsia="zh-CN"/>
        </w:rPr>
      </w:pPr>
      <w:r>
        <w:rPr>
          <w:rFonts w:ascii="宋体" w:hAnsi="宋体" w:eastAsia="宋体" w:cs="宋体"/>
          <w:sz w:val="30"/>
          <w:lang w:val="en-US" w:eastAsia="zh-CN"/>
        </w:rPr>
        <w:t>B6</w:t>
      </w:r>
      <w:r>
        <w:rPr>
          <w:rFonts w:hint="eastAsia" w:ascii="宋体" w:hAnsi="宋体" w:eastAsia="宋体" w:cs="宋体"/>
          <w:sz w:val="30"/>
          <w:lang w:val="en-US" w:eastAsia="zh-CN"/>
        </w:rPr>
        <w:t>1748</w:t>
      </w:r>
      <w:r>
        <w:rPr>
          <w:rFonts w:hint="eastAsia" w:ascii="宋体" w:hAnsi="宋体" w:eastAsia="宋体" w:cs="宋体"/>
          <w:sz w:val="30"/>
          <w:lang w:val="en-US" w:eastAsia="zh-CN"/>
        </w:rPr>
        <w:tab/>
      </w:r>
    </w:p>
    <w:p>
      <w:pPr>
        <w:spacing w:line="400" w:lineRule="exact"/>
        <w:ind w:firstLine="420" w:firstLineChars="200"/>
        <w:rPr>
          <w:rFonts w:ascii="宋体" w:hAnsi="宋体" w:eastAsia="宋体" w:cs="宋体"/>
          <w:sz w:val="24"/>
        </w:rPr>
      </w:pPr>
      <w:bookmarkStart w:id="0" w:name="_GoBack"/>
      <w:r>
        <w:rPr>
          <w:rFonts w:hint="eastAsia" w:ascii="宋体" w:hAnsi="宋体" w:eastAsia="宋体" w:cs="宋体"/>
        </w:rPr>
        <w:drawing>
          <wp:anchor distT="0" distB="0" distL="114300" distR="114300" simplePos="0" relativeHeight="251660288" behindDoc="1" locked="1" layoutInCell="1" allowOverlap="1">
            <wp:simplePos x="0" y="0"/>
            <wp:positionH relativeFrom="page">
              <wp:posOffset>876300</wp:posOffset>
            </wp:positionH>
            <wp:positionV relativeFrom="margin">
              <wp:align>center</wp:align>
            </wp:positionV>
            <wp:extent cx="5641975" cy="9620885"/>
            <wp:effectExtent l="0" t="0" r="0" b="0"/>
            <wp:wrapNone/>
            <wp:docPr id="4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2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641975" cy="9620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bookmarkEnd w:id="0"/>
    </w:p>
    <w:p>
      <w:pPr>
        <w:spacing w:line="400" w:lineRule="exact"/>
        <w:ind w:firstLine="480" w:firstLineChars="200"/>
        <w:rPr>
          <w:rFonts w:ascii="宋体" w:hAnsi="宋体" w:eastAsia="宋体" w:cs="宋体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sz w:val="24"/>
        </w:rPr>
      </w:pPr>
    </w:p>
    <w:p>
      <w:pPr>
        <w:pStyle w:val="13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500" w:lineRule="exact"/>
        <w:jc w:val="center"/>
        <w:rPr>
          <w:rFonts w:ascii="宋体" w:hAnsi="宋体" w:eastAsia="宋体" w:cs="宋体"/>
          <w:sz w:val="48"/>
          <w:lang w:eastAsia="zh-CN"/>
        </w:rPr>
      </w:pPr>
      <w:r>
        <w:rPr>
          <w:rFonts w:hint="eastAsia" w:ascii="宋体" w:hAnsi="宋体" w:eastAsia="宋体" w:cs="宋体"/>
          <w:sz w:val="48"/>
          <w:lang w:eastAsia="zh-CN"/>
        </w:rPr>
        <w:t>标 准 物 质 证 书</w:t>
      </w:r>
    </w:p>
    <w:p>
      <w:pPr>
        <w:pStyle w:val="13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300" w:lineRule="exact"/>
        <w:jc w:val="center"/>
        <w:rPr>
          <w:rFonts w:ascii="宋体" w:hAnsi="宋体" w:eastAsia="宋体" w:cs="宋体"/>
          <w:sz w:val="30"/>
          <w:lang w:val="en-US" w:eastAsia="zh-CN"/>
        </w:rPr>
      </w:pPr>
      <w:r>
        <w:rPr>
          <w:rFonts w:hint="eastAsia" w:ascii="宋体" w:hAnsi="宋体" w:eastAsia="宋体" w:cs="宋体"/>
          <w:sz w:val="30"/>
          <w:lang w:val="en-US" w:eastAsia="zh-CN"/>
        </w:rPr>
        <w:t>甲醇中克林霉素 </w:t>
      </w:r>
    </w:p>
    <w:p>
      <w:pPr>
        <w:pStyle w:val="13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300" w:lineRule="exact"/>
        <w:jc w:val="center"/>
        <w:rPr>
          <w:rFonts w:ascii="宋体" w:hAnsi="宋体" w:eastAsia="宋体" w:cs="宋体"/>
          <w:sz w:val="30"/>
          <w:lang w:val="en-US" w:eastAsia="zh-CN"/>
        </w:rPr>
      </w:pPr>
      <w:r>
        <w:rPr>
          <w:rFonts w:hint="eastAsia" w:ascii="宋体" w:hAnsi="宋体" w:eastAsia="宋体" w:cs="宋体"/>
          <w:sz w:val="30"/>
          <w:lang w:val="en-US" w:eastAsia="zh-CN"/>
        </w:rPr>
        <w:t>Clindamycin in methanol</w:t>
      </w:r>
    </w:p>
    <w:p>
      <w:pPr>
        <w:pStyle w:val="13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480" w:lineRule="exact"/>
        <w:jc w:val="left"/>
        <w:rPr>
          <w:rFonts w:ascii="宋体" w:hAnsi="宋体" w:eastAsia="宋体" w:cs="宋体"/>
          <w:sz w:val="48"/>
          <w:lang w:eastAsia="zh-CN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sz w:val="24"/>
        </w:rPr>
      </w:pPr>
    </w:p>
    <w:p>
      <w:pPr>
        <w:spacing w:line="400" w:lineRule="exact"/>
        <w:ind w:firstLine="420" w:firstLineChars="200"/>
        <w:rPr>
          <w:rFonts w:ascii="宋体" w:hAnsi="宋体" w:eastAsia="宋体" w:cs="宋体"/>
          <w:sz w:val="24"/>
        </w:rPr>
      </w:pPr>
      <w: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1428750</wp:posOffset>
            </wp:positionH>
            <wp:positionV relativeFrom="paragraph">
              <wp:posOffset>116840</wp:posOffset>
            </wp:positionV>
            <wp:extent cx="1892935" cy="1666875"/>
            <wp:effectExtent l="0" t="0" r="12065" b="0"/>
            <wp:wrapNone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7">
                      <a:clrChange>
                        <a:clrFrom>
                          <a:srgbClr val="FAFAFA"/>
                        </a:clrFrom>
                        <a:clrTo>
                          <a:srgbClr val="FAFAFA">
                            <a:alpha val="0"/>
                          </a:srgbClr>
                        </a:clrTo>
                      </a:clrChange>
                    </a:blip>
                    <a:srcRect l="14973" t="20264" r="18582" b="29427"/>
                    <a:stretch>
                      <a:fillRect/>
                    </a:stretch>
                  </pic:blipFill>
                  <pic:spPr>
                    <a:xfrm>
                      <a:off x="0" y="0"/>
                      <a:ext cx="1892935" cy="1666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pStyle w:val="13"/>
        <w:framePr w:w="3726" w:wrap="around" w:vAnchor="page" w:hAnchor="page" w:x="3945" w:y="12523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hAnsi="宋体" w:eastAsia="宋体" w:cs="宋体"/>
          <w:sz w:val="27"/>
          <w:lang w:eastAsia="zh-CN"/>
        </w:rPr>
      </w:pPr>
      <w:r>
        <w:rPr>
          <w:rFonts w:hint="eastAsia" w:ascii="宋体" w:hAnsi="宋体" w:eastAsia="宋体" w:cs="宋体"/>
          <w:sz w:val="27"/>
          <w:lang w:eastAsia="zh-CN"/>
        </w:rPr>
        <w:t>上海源叶生物科技有限公司</w:t>
      </w:r>
    </w:p>
    <w:p>
      <w:pPr>
        <w:pStyle w:val="13"/>
        <w:framePr w:w="3726" w:wrap="around" w:vAnchor="page" w:hAnchor="page" w:x="3945" w:y="12523"/>
        <w:widowControl w:val="0"/>
        <w:autoSpaceDE w:val="0"/>
        <w:autoSpaceDN w:val="0"/>
        <w:adjustRightInd w:val="0"/>
        <w:spacing w:before="0" w:after="0" w:line="400" w:lineRule="exact"/>
        <w:ind w:firstLine="810" w:firstLineChars="300"/>
        <w:jc w:val="left"/>
        <w:rPr>
          <w:rFonts w:ascii="宋体" w:hAnsi="宋体" w:eastAsia="宋体" w:cs="宋体"/>
          <w:sz w:val="27"/>
          <w:lang w:val="en-US" w:eastAsia="zh-CN"/>
        </w:rPr>
      </w:pPr>
      <w:r>
        <w:rPr>
          <w:rFonts w:hint="eastAsia" w:ascii="宋体" w:hAnsi="宋体" w:eastAsia="宋体" w:cs="宋体"/>
          <w:sz w:val="27"/>
          <w:lang w:val="en-US" w:eastAsia="zh-CN"/>
        </w:rPr>
        <w:t>中国    上海</w:t>
      </w:r>
    </w:p>
    <w:p>
      <w:pPr>
        <w:spacing w:line="400" w:lineRule="exact"/>
        <w:ind w:firstLine="480" w:firstLineChars="200"/>
        <w:rPr>
          <w:rFonts w:ascii="宋体" w:hAnsi="宋体" w:eastAsia="宋体" w:cs="宋体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sz w:val="24"/>
        </w:rPr>
      </w:pPr>
    </w:p>
    <w:p>
      <w:pPr>
        <w:pStyle w:val="13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hint="eastAsia" w:ascii="宋体" w:hAnsi="宋体" w:eastAsia="宋体" w:cs="宋体"/>
          <w:sz w:val="27"/>
          <w:lang w:eastAsia="zh-CN"/>
        </w:rPr>
      </w:pPr>
      <w:r>
        <w:rPr>
          <w:rFonts w:hint="eastAsia" w:ascii="宋体" w:hAnsi="宋体" w:eastAsia="宋体" w:cs="宋体"/>
          <w:sz w:val="27"/>
          <w:lang w:eastAsia="zh-CN"/>
        </w:rPr>
        <w:t xml:space="preserve">批 </w:t>
      </w:r>
      <w:r>
        <w:rPr>
          <w:rFonts w:eastAsia="宋体" w:cs="宋体" w:asciiTheme="minorHAnsi" w:hAnsiTheme="minorHAnsi"/>
          <w:sz w:val="27"/>
          <w:lang w:eastAsia="zh-CN"/>
        </w:rPr>
        <w:t xml:space="preserve">  </w:t>
      </w:r>
      <w:r>
        <w:rPr>
          <w:rFonts w:hint="eastAsia" w:ascii="宋体" w:hAnsi="宋体" w:eastAsia="宋体" w:cs="宋体"/>
          <w:sz w:val="27"/>
          <w:lang w:eastAsia="zh-CN"/>
        </w:rPr>
        <w:t xml:space="preserve"> 号: </w:t>
      </w:r>
      <w:r>
        <w:rPr>
          <w:rFonts w:eastAsia="宋体" w:cs="宋体" w:asciiTheme="minorHAnsi" w:hAnsiTheme="minorHAnsi"/>
          <w:sz w:val="27"/>
          <w:lang w:eastAsia="zh-CN"/>
        </w:rPr>
        <w:t xml:space="preserve"> </w:t>
      </w:r>
      <w:r>
        <w:rPr>
          <w:rFonts w:hint="eastAsia" w:eastAsia="宋体" w:cs="宋体" w:asciiTheme="minorHAnsi" w:hAnsiTheme="minorHAnsi"/>
          <w:sz w:val="27"/>
          <w:lang w:eastAsia="zh-CN"/>
        </w:rPr>
        <w:t>O21IB229716</w:t>
      </w:r>
    </w:p>
    <w:p>
      <w:pPr>
        <w:pStyle w:val="13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hAnsi="宋体" w:eastAsia="宋体" w:cs="宋体"/>
          <w:sz w:val="27"/>
          <w:lang w:eastAsia="zh-CN"/>
        </w:rPr>
      </w:pPr>
      <w:r>
        <w:rPr>
          <w:rFonts w:hint="eastAsia" w:ascii="宋体" w:hAnsi="宋体" w:eastAsia="宋体" w:cs="宋体"/>
          <w:sz w:val="27"/>
          <w:lang w:eastAsia="zh-CN"/>
        </w:rPr>
        <w:t>定值日期:  202</w:t>
      </w:r>
      <w:r>
        <w:rPr>
          <w:rFonts w:hint="eastAsia" w:ascii="宋体" w:hAnsi="宋体" w:eastAsia="宋体" w:cs="宋体"/>
          <w:sz w:val="27"/>
          <w:lang w:val="en-US" w:eastAsia="zh-CN"/>
        </w:rPr>
        <w:t>3</w:t>
      </w:r>
      <w:r>
        <w:rPr>
          <w:rFonts w:hint="eastAsia" w:ascii="宋体" w:hAnsi="宋体" w:eastAsia="宋体" w:cs="宋体"/>
          <w:sz w:val="27"/>
          <w:lang w:eastAsia="zh-CN"/>
        </w:rPr>
        <w:t xml:space="preserve"> 年 </w:t>
      </w:r>
      <w:r>
        <w:rPr>
          <w:rFonts w:hint="eastAsia" w:ascii="宋体" w:hAnsi="宋体" w:eastAsia="宋体" w:cs="宋体"/>
          <w:sz w:val="27"/>
          <w:lang w:val="en-US" w:eastAsia="zh-CN"/>
        </w:rPr>
        <w:t>03</w:t>
      </w:r>
      <w:r>
        <w:rPr>
          <w:rFonts w:hint="eastAsia" w:ascii="宋体" w:hAnsi="宋体" w:eastAsia="宋体" w:cs="宋体"/>
          <w:sz w:val="27"/>
          <w:lang w:eastAsia="zh-CN"/>
        </w:rPr>
        <w:t xml:space="preserve"> 月 </w:t>
      </w:r>
      <w:r>
        <w:rPr>
          <w:rFonts w:hint="eastAsia" w:ascii="宋体" w:hAnsi="宋体" w:eastAsia="宋体" w:cs="宋体"/>
          <w:sz w:val="27"/>
          <w:lang w:val="en-US" w:eastAsia="zh-CN"/>
        </w:rPr>
        <w:t>13</w:t>
      </w:r>
      <w:r>
        <w:rPr>
          <w:rFonts w:hint="eastAsia" w:ascii="宋体" w:hAnsi="宋体" w:eastAsia="宋体" w:cs="宋体"/>
          <w:sz w:val="27"/>
          <w:lang w:eastAsia="zh-CN"/>
        </w:rPr>
        <w:t xml:space="preserve"> 日</w:t>
      </w:r>
    </w:p>
    <w:p>
      <w:pPr>
        <w:pStyle w:val="13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hAnsi="宋体" w:eastAsia="宋体" w:cs="宋体"/>
          <w:sz w:val="27"/>
          <w:lang w:eastAsia="zh-CN"/>
        </w:rPr>
      </w:pPr>
      <w:r>
        <w:rPr>
          <w:rFonts w:hint="eastAsia" w:ascii="宋体" w:hAnsi="宋体" w:eastAsia="宋体" w:cs="宋体"/>
          <w:sz w:val="27"/>
          <w:lang w:eastAsia="zh-CN"/>
        </w:rPr>
        <w:t>有效期至:  202</w:t>
      </w:r>
      <w:r>
        <w:rPr>
          <w:rFonts w:hint="eastAsia" w:ascii="宋体" w:hAnsi="宋体" w:eastAsia="宋体" w:cs="宋体"/>
          <w:sz w:val="27"/>
          <w:lang w:val="en-US" w:eastAsia="zh-CN"/>
        </w:rPr>
        <w:t>5</w:t>
      </w:r>
      <w:r>
        <w:rPr>
          <w:rFonts w:hint="eastAsia" w:ascii="宋体" w:hAnsi="宋体" w:eastAsia="宋体" w:cs="宋体"/>
          <w:sz w:val="27"/>
          <w:lang w:eastAsia="zh-CN"/>
        </w:rPr>
        <w:t xml:space="preserve"> 年 </w:t>
      </w:r>
      <w:r>
        <w:rPr>
          <w:rFonts w:hint="eastAsia" w:ascii="宋体" w:hAnsi="宋体" w:eastAsia="宋体" w:cs="宋体"/>
          <w:sz w:val="27"/>
          <w:lang w:val="en-US" w:eastAsia="zh-CN"/>
        </w:rPr>
        <w:t>08</w:t>
      </w:r>
      <w:r>
        <w:rPr>
          <w:rFonts w:hint="eastAsia" w:ascii="宋体" w:hAnsi="宋体" w:eastAsia="宋体" w:cs="宋体"/>
          <w:sz w:val="27"/>
          <w:lang w:eastAsia="zh-CN"/>
        </w:rPr>
        <w:t xml:space="preserve"> 月</w:t>
      </w:r>
      <w:r>
        <w:rPr>
          <w:rFonts w:hint="eastAsia" w:ascii="宋体" w:hAnsi="宋体" w:eastAsia="宋体" w:cs="宋体"/>
          <w:sz w:val="27"/>
          <w:lang w:val="en-US" w:eastAsia="zh-CN"/>
        </w:rPr>
        <w:t xml:space="preserve"> 12 </w:t>
      </w:r>
      <w:r>
        <w:rPr>
          <w:rFonts w:hint="eastAsia" w:ascii="宋体" w:hAnsi="宋体" w:eastAsia="宋体" w:cs="宋体"/>
          <w:sz w:val="27"/>
          <w:lang w:eastAsia="zh-CN"/>
        </w:rPr>
        <w:t>日</w:t>
      </w:r>
    </w:p>
    <w:p>
      <w:pPr>
        <w:spacing w:line="400" w:lineRule="exact"/>
        <w:ind w:firstLine="480" w:firstLineChars="200"/>
        <w:rPr>
          <w:rFonts w:ascii="宋体" w:hAnsi="宋体" w:eastAsia="宋体" w:cs="宋体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本标准物质主要用于测量仪器校准,分析方法评价和质量控制,以及食品、卫生、环境和农业等相关领域相应成分含量测定与残留检测，也可用于量值溯源或作为标液储备溶液，通过逐级稀释配置成各种工作用标准溶液等。</w:t>
      </w:r>
    </w:p>
    <w:p>
      <w:pPr>
        <w:spacing w:line="400" w:lineRule="exact"/>
        <w:rPr>
          <w:rFonts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8"/>
          <w:szCs w:val="28"/>
        </w:rPr>
        <w:t>一、样品制备</w:t>
      </w:r>
    </w:p>
    <w:p>
      <w:pPr>
        <w:pStyle w:val="12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eastAsia="zh-CN"/>
        </w:rPr>
        <w:t>本标准物质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采用纯度准确定值的克林霉素纯品为原料，以色谱甲醇为溶剂，采用重量-容量法准确配置而成。</w:t>
      </w:r>
    </w:p>
    <w:p>
      <w:pPr>
        <w:pStyle w:val="12"/>
        <w:widowControl w:val="0"/>
        <w:autoSpaceDE w:val="0"/>
        <w:autoSpaceDN w:val="0"/>
        <w:adjustRightInd w:val="0"/>
        <w:spacing w:before="0" w:after="312" w:afterLines="100" w:line="400" w:lineRule="exact"/>
        <w:jc w:val="left"/>
        <w:rPr>
          <w:rFonts w:ascii="宋体" w:hAnsi="宋体" w:eastAsia="宋体" w:cs="宋体"/>
          <w:kern w:val="2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克林霉素，英文名称：Clindamycin ，CAS号：18323-44-9。</w:t>
      </w:r>
    </w:p>
    <w:p>
      <w:pPr>
        <w:spacing w:line="400" w:lineRule="exact"/>
        <w:rPr>
          <w:rFonts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二、溯源性及定值方法</w:t>
      </w:r>
    </w:p>
    <w:p>
      <w:pPr>
        <w:pStyle w:val="12"/>
        <w:widowControl w:val="0"/>
        <w:autoSpaceDE w:val="0"/>
        <w:autoSpaceDN w:val="0"/>
        <w:adjustRightInd w:val="0"/>
        <w:spacing w:before="0" w:after="312" w:afterLines="100" w:line="400" w:lineRule="exact"/>
        <w:ind w:firstLine="480" w:firstLineChars="200"/>
        <w:jc w:val="left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本标准物质以配置值作为标准值，采用高效液相色谱法-质谱联用技术（HPLC-MS）对本批次标准物质和质量控制对照样品进行比对，核验配制值。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通过使用满足计量学特性要求的制备方法,测量方法和计量器具,保证标准物质的量值溯源性。</w:t>
      </w:r>
    </w:p>
    <w:p>
      <w:pPr>
        <w:numPr>
          <w:ilvl w:val="0"/>
          <w:numId w:val="1"/>
        </w:numPr>
        <w:spacing w:line="400" w:lineRule="exact"/>
        <w:rPr>
          <w:rFonts w:ascii="宋体" w:hAnsi="宋体" w:eastAsia="宋体" w:cs="宋体"/>
          <w:sz w:val="28"/>
          <w:szCs w:val="28"/>
          <w:lang w:val="ru-RU"/>
        </w:rPr>
      </w:pPr>
      <w:r>
        <w:rPr>
          <w:rFonts w:hint="eastAsia" w:ascii="宋体" w:hAnsi="宋体" w:eastAsia="宋体" w:cs="宋体"/>
          <w:sz w:val="28"/>
          <w:szCs w:val="28"/>
        </w:rPr>
        <w:t>特性量值及不确定度</w:t>
      </w:r>
    </w:p>
    <w:tbl>
      <w:tblPr>
        <w:tblStyle w:val="6"/>
        <w:tblW w:w="852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21"/>
        <w:gridCol w:w="2384"/>
        <w:gridCol w:w="2050"/>
        <w:gridCol w:w="276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21" w:type="dxa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编号</w:t>
            </w:r>
          </w:p>
        </w:tc>
        <w:tc>
          <w:tcPr>
            <w:tcW w:w="2384" w:type="dxa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名称</w:t>
            </w:r>
          </w:p>
        </w:tc>
        <w:tc>
          <w:tcPr>
            <w:tcW w:w="2050" w:type="dxa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标准值（ug/mL）</w:t>
            </w:r>
          </w:p>
        </w:tc>
        <w:tc>
          <w:tcPr>
            <w:tcW w:w="2767" w:type="dxa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相对扩展</w:t>
            </w:r>
            <w:r>
              <w:rPr>
                <w:rFonts w:hint="eastAsia" w:ascii="宋体" w:hAnsi="宋体" w:eastAsia="宋体" w:cs="宋体"/>
                <w:sz w:val="24"/>
              </w:rPr>
              <w:t>不确定度（%）(k=2)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</w:trPr>
        <w:tc>
          <w:tcPr>
            <w:tcW w:w="1321" w:type="dxa"/>
          </w:tcPr>
          <w:p>
            <w:pPr>
              <w:spacing w:line="400" w:lineRule="exact"/>
              <w:jc w:val="center"/>
              <w:rPr>
                <w:rFonts w:hint="default" w:ascii="宋体" w:hAnsi="宋体" w:eastAsia="宋体" w:cs="宋体"/>
                <w:sz w:val="24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</w:rPr>
              <w:t>B6</w:t>
            </w: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1748</w:t>
            </w:r>
          </w:p>
        </w:tc>
        <w:tc>
          <w:tcPr>
            <w:tcW w:w="2384" w:type="dxa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甲醇中克林霉素</w:t>
            </w:r>
          </w:p>
        </w:tc>
        <w:tc>
          <w:tcPr>
            <w:tcW w:w="2050" w:type="dxa"/>
          </w:tcPr>
          <w:p>
            <w:pPr>
              <w:spacing w:line="400" w:lineRule="exact"/>
              <w:jc w:val="center"/>
              <w:rPr>
                <w:rFonts w:hint="default" w:ascii="宋体" w:hAnsi="宋体" w:eastAsia="宋体" w:cs="宋体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1000</w:t>
            </w:r>
          </w:p>
        </w:tc>
        <w:tc>
          <w:tcPr>
            <w:tcW w:w="2767" w:type="dxa"/>
          </w:tcPr>
          <w:p>
            <w:pPr>
              <w:spacing w:line="400" w:lineRule="exact"/>
              <w:jc w:val="center"/>
              <w:rPr>
                <w:rFonts w:hint="eastAsia" w:ascii="宋体" w:hAnsi="宋体" w:eastAsia="宋体" w:cs="宋体"/>
                <w:sz w:val="24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2</w:t>
            </w:r>
          </w:p>
        </w:tc>
      </w:tr>
    </w:tbl>
    <w:p>
      <w:pPr>
        <w:spacing w:line="400" w:lineRule="exact"/>
        <w:rPr>
          <w:rFonts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Cs w:val="21"/>
        </w:rPr>
        <w:t>标准值的不确定度主要由原料纯度，称量，定容以及均匀性，稳定性等不确定度分量合成。</w:t>
      </w:r>
    </w:p>
    <w:p>
      <w:pPr>
        <w:spacing w:line="400" w:lineRule="exact"/>
        <w:rPr>
          <w:rFonts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8"/>
          <w:szCs w:val="28"/>
        </w:rPr>
        <w:t>四、均匀性检验及稳定性考察</w:t>
      </w:r>
    </w:p>
    <w:p>
      <w:pPr>
        <w:pStyle w:val="12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依据JJF1343-2012[标准物质定值的通用原则及统计学原理]，对分装后的样品进行随机抽样，对溶液浓度进行均匀性检验，稳定性考察。结果表明，本标准物质均匀性、稳定性良好。</w:t>
      </w:r>
    </w:p>
    <w:p>
      <w:pPr>
        <w:pStyle w:val="12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本标准物质自定值日期起，有效期29个月，研制单位将继续监测该标准物质的稳定性，有效期内如发现量值变化，将及时通知用户。</w:t>
      </w:r>
    </w:p>
    <w:p>
      <w:pPr>
        <w:spacing w:line="400" w:lineRule="exact"/>
        <w:rPr>
          <w:rFonts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五、包装、运输和贮存、使用及注意事项</w:t>
      </w:r>
    </w:p>
    <w:p>
      <w:pPr>
        <w:spacing w:after="60" w:line="240" w:lineRule="auto"/>
        <w:ind w:firstLine="480" w:firstLineChars="200"/>
        <w:rPr>
          <w:rFonts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1.包装: 本标准物质采用硼硅酸盐玻璃安瓿瓶包装，约1 mL/支，移取或稀释时请以移液管量取为准。</w:t>
      </w:r>
    </w:p>
    <w:p>
      <w:pPr>
        <w:pStyle w:val="12"/>
        <w:widowControl w:val="0"/>
        <w:autoSpaceDE w:val="0"/>
        <w:autoSpaceDN w:val="0"/>
        <w:adjustRightInd w:val="0"/>
        <w:spacing w:before="0" w:after="60" w:line="240" w:lineRule="auto"/>
        <w:ind w:firstLine="480" w:firstLineChars="200"/>
        <w:jc w:val="left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sz w:val="24"/>
          <w:szCs w:val="24"/>
          <w:lang w:eastAsia="zh-CN"/>
        </w:rPr>
        <w:t xml:space="preserve">2.运输和贮存: 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冷藏运输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,运输时应避免挤压,碰撞；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冷冻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、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避光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条件下贮存。</w:t>
      </w:r>
    </w:p>
    <w:p>
      <w:pPr>
        <w:pStyle w:val="12"/>
        <w:widowControl w:val="0"/>
        <w:autoSpaceDE w:val="0"/>
        <w:autoSpaceDN w:val="0"/>
        <w:adjustRightInd w:val="0"/>
        <w:spacing w:before="0" w:after="60" w:line="240" w:lineRule="auto"/>
        <w:ind w:firstLine="480" w:firstLineChars="200"/>
        <w:jc w:val="left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sz w:val="24"/>
          <w:szCs w:val="24"/>
          <w:lang w:eastAsia="zh-CN"/>
        </w:rPr>
        <w:t xml:space="preserve">3.使用: 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启封前于室温（20±3℃）平衡，并充分摇匀。安瓿瓶一经打开，应立即使用，不可再次熔封后作为标准物质使用。</w:t>
      </w:r>
    </w:p>
    <w:p>
      <w:pPr>
        <w:rPr>
          <w:rFonts w:ascii="宋体" w:hAnsi="宋体" w:eastAsia="宋体" w:cs="宋体"/>
          <w:b/>
          <w:bCs/>
          <w:sz w:val="18"/>
          <w:szCs w:val="18"/>
        </w:rPr>
      </w:pPr>
    </w:p>
    <w:p>
      <w:pPr>
        <w:rPr>
          <w:rFonts w:ascii="宋体" w:hAnsi="宋体" w:eastAsia="宋体" w:cs="宋体"/>
          <w:b/>
          <w:bCs/>
          <w:sz w:val="18"/>
          <w:szCs w:val="18"/>
        </w:rPr>
      </w:pPr>
      <w:r>
        <w:rPr>
          <w:rFonts w:hint="eastAsia" w:ascii="宋体" w:hAnsi="宋体" w:eastAsia="宋体" w:cs="宋体"/>
          <w:b/>
          <w:bCs/>
          <w:sz w:val="18"/>
          <w:szCs w:val="18"/>
        </w:rPr>
        <w:t>声明</w:t>
      </w:r>
    </w:p>
    <w:p>
      <w:pPr>
        <w:widowControl/>
        <w:spacing w:line="300" w:lineRule="exact"/>
        <w:rPr>
          <w:rFonts w:ascii="宋体" w:hAnsi="宋体" w:eastAsia="宋体" w:cs="宋体"/>
          <w:sz w:val="18"/>
          <w:szCs w:val="18"/>
        </w:rPr>
      </w:pPr>
      <w:r>
        <w:rPr>
          <w:rFonts w:hint="eastAsia" w:ascii="宋体" w:hAnsi="宋体" w:eastAsia="宋体" w:cs="宋体"/>
          <w:sz w:val="18"/>
          <w:szCs w:val="18"/>
        </w:rPr>
        <w:t>1.本标准物质仅供实验室研究与分析测试工作使用。因用户使用或存储不当所引起的投诉，不予承担责任。</w:t>
      </w:r>
    </w:p>
    <w:p>
      <w:pPr>
        <w:widowControl/>
        <w:spacing w:line="300" w:lineRule="exact"/>
        <w:rPr>
          <w:rFonts w:ascii="宋体" w:hAnsi="宋体" w:eastAsia="宋体" w:cs="宋体"/>
          <w:sz w:val="18"/>
          <w:szCs w:val="18"/>
        </w:rPr>
      </w:pPr>
      <w:r>
        <w:rPr>
          <w:rFonts w:hint="eastAsia" w:ascii="宋体" w:hAnsi="宋体" w:eastAsia="宋体" w:cs="宋体"/>
          <w:sz w:val="18"/>
          <w:szCs w:val="18"/>
        </w:rPr>
        <w:t>2.收到后请立即核对品种、数量和包装，相关赔偿只限于标准物质本身，不涉及其他任何损失。</w:t>
      </w:r>
    </w:p>
    <w:p>
      <w:pPr>
        <w:widowControl/>
        <w:spacing w:line="300" w:lineRule="exact"/>
        <w:rPr>
          <w:rFonts w:ascii="宋体" w:hAnsi="宋体" w:eastAsia="宋体" w:cs="宋体"/>
          <w:sz w:val="18"/>
          <w:szCs w:val="18"/>
        </w:rPr>
      </w:pPr>
      <w:r>
        <w:rPr>
          <w:rFonts w:hint="eastAsia" w:ascii="宋体" w:hAnsi="宋体" w:eastAsia="宋体" w:cs="宋体"/>
          <w:sz w:val="18"/>
          <w:szCs w:val="18"/>
        </w:rPr>
        <w:t>3.仅对加盖“上海源叶生物质检专用章”的完整证书负责。请妥善保管此证书。</w:t>
      </w:r>
    </w:p>
    <w:p>
      <w:pPr>
        <w:widowControl/>
        <w:spacing w:line="300" w:lineRule="exact"/>
        <w:rPr>
          <w:rFonts w:ascii="宋体" w:hAnsi="宋体" w:eastAsia="宋体" w:cs="宋体"/>
          <w:sz w:val="18"/>
          <w:szCs w:val="18"/>
        </w:rPr>
      </w:pPr>
      <w:r>
        <w:rPr>
          <w:rFonts w:hint="eastAsia" w:ascii="宋体" w:hAnsi="宋体" w:eastAsia="宋体" w:cs="宋体"/>
          <w:sz w:val="18"/>
          <w:szCs w:val="18"/>
        </w:rPr>
        <w:t>4.如需获得更多与使用有关的信息，请与技术部门联系。</w:t>
      </w:r>
    </w:p>
    <w:p>
      <w:pPr>
        <w:widowControl/>
        <w:spacing w:line="300" w:lineRule="exact"/>
        <w:rPr>
          <w:rFonts w:ascii="宋体" w:hAnsi="宋体" w:eastAsia="宋体" w:cs="宋体"/>
          <w:szCs w:val="21"/>
        </w:rPr>
      </w:pPr>
    </w:p>
    <w:p>
      <w:pPr>
        <w:rPr>
          <w:rFonts w:ascii="宋体" w:hAnsi="宋体" w:eastAsia="宋体" w:cs="宋体"/>
          <w:color w:val="000000"/>
          <w:sz w:val="27"/>
        </w:rPr>
      </w:pPr>
      <w:r>
        <w:rPr>
          <w:rFonts w:ascii="宋体" w:hAnsi="宋体" w:eastAsia="宋体" w:cs="宋体"/>
          <w:sz w:val="27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1188085</wp:posOffset>
                </wp:positionH>
                <wp:positionV relativeFrom="paragraph">
                  <wp:posOffset>137795</wp:posOffset>
                </wp:positionV>
                <wp:extent cx="4078605" cy="1207135"/>
                <wp:effectExtent l="0" t="0" r="0" b="0"/>
                <wp:wrapNone/>
                <wp:docPr id="3" name="文本框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2463800" y="1109345"/>
                          <a:ext cx="4078605" cy="96583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widowControl/>
                              <w:spacing w:line="240" w:lineRule="exac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研制单位：上海源叶生物科技有限公司    热线电话：4006665481</w:t>
                            </w:r>
                          </w:p>
                          <w:p>
                            <w:pPr>
                              <w:widowControl/>
                              <w:spacing w:line="240" w:lineRule="exac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官网网址：</w:t>
                            </w:r>
                            <w:r>
                              <w:fldChar w:fldCharType="begin"/>
                            </w:r>
                            <w:r>
                              <w:instrText xml:space="preserve"> HYPERLINK "http://www.shyuanye.com"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10"/>
                                <w:rFonts w:hint="eastAsia"/>
                                <w:sz w:val="18"/>
                                <w:szCs w:val="18"/>
                              </w:rPr>
                              <w:t>www.shyuanye.com</w:t>
                            </w:r>
                            <w:r>
                              <w:rPr>
                                <w:rStyle w:val="10"/>
                                <w:rFonts w:hint="eastAsia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           传真：021-55068248</w:t>
                            </w:r>
                          </w:p>
                          <w:p>
                            <w:pPr>
                              <w:widowControl/>
                              <w:spacing w:line="240" w:lineRule="exac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技术咨询：13817923140                技术邮箱：</w:t>
                            </w:r>
                            <w:r>
                              <w:fldChar w:fldCharType="begin"/>
                            </w:r>
                            <w:r>
                              <w:instrText xml:space="preserve"> HYPERLINK "mailto:3008007419@qq.com"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10"/>
                                <w:rFonts w:hint="eastAsia"/>
                                <w:sz w:val="18"/>
                                <w:szCs w:val="18"/>
                              </w:rPr>
                              <w:t>3008007419@qq.com</w:t>
                            </w:r>
                            <w:r>
                              <w:rPr>
                                <w:rStyle w:val="10"/>
                                <w:rFonts w:hint="eastAsia"/>
                                <w:sz w:val="18"/>
                                <w:szCs w:val="18"/>
                              </w:rPr>
                              <w:fldChar w:fldCharType="end"/>
                            </w:r>
                          </w:p>
                          <w:p>
                            <w:pPr>
                              <w:widowControl/>
                              <w:spacing w:line="240" w:lineRule="exac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单位地址：上海市松江区长塔路465号6幢</w:t>
                            </w:r>
                          </w:p>
                          <w:p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93.55pt;margin-top:10.85pt;height:95.05pt;width:321.15pt;z-index:251659264;mso-width-relative:page;mso-height-relative:page;" filled="f" stroked="f" coordsize="21600,21600" o:gfxdata="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widowControl/>
                        <w:spacing w:line="240" w:lineRule="exac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研制单位：上海源叶生物科技有限公司    热线电话：4006665481</w:t>
                      </w:r>
                    </w:p>
                    <w:p>
                      <w:pPr>
                        <w:widowControl/>
                        <w:spacing w:line="240" w:lineRule="exac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官网网址：</w:t>
                      </w:r>
                      <w:r>
                        <w:fldChar w:fldCharType="begin"/>
                      </w:r>
                      <w:r>
                        <w:instrText xml:space="preserve"> HYPERLINK "http://www.shyuanye.com" </w:instrText>
                      </w:r>
                      <w:r>
                        <w:fldChar w:fldCharType="separate"/>
                      </w:r>
                      <w:r>
                        <w:rPr>
                          <w:rStyle w:val="10"/>
                          <w:rFonts w:hint="eastAsia"/>
                          <w:sz w:val="18"/>
                          <w:szCs w:val="18"/>
                        </w:rPr>
                        <w:t>www.shyuanye.com</w:t>
                      </w:r>
                      <w:r>
                        <w:rPr>
                          <w:rStyle w:val="10"/>
                          <w:rFonts w:hint="eastAsia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 xml:space="preserve">           传真：021-55068248</w:t>
                      </w:r>
                    </w:p>
                    <w:p>
                      <w:pPr>
                        <w:widowControl/>
                        <w:spacing w:line="240" w:lineRule="exac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技术咨询：13817923140                技术邮箱：</w:t>
                      </w:r>
                      <w:r>
                        <w:fldChar w:fldCharType="begin"/>
                      </w:r>
                      <w:r>
                        <w:instrText xml:space="preserve"> HYPERLINK "mailto:3008007419@qq.com" </w:instrText>
                      </w:r>
                      <w:r>
                        <w:fldChar w:fldCharType="separate"/>
                      </w:r>
                      <w:r>
                        <w:rPr>
                          <w:rStyle w:val="10"/>
                          <w:rFonts w:hint="eastAsia"/>
                          <w:sz w:val="18"/>
                          <w:szCs w:val="18"/>
                        </w:rPr>
                        <w:t>3008007419@qq.com</w:t>
                      </w:r>
                      <w:r>
                        <w:rPr>
                          <w:rStyle w:val="10"/>
                          <w:rFonts w:hint="eastAsia"/>
                          <w:sz w:val="18"/>
                          <w:szCs w:val="18"/>
                        </w:rPr>
                        <w:fldChar w:fldCharType="end"/>
                      </w:r>
                    </w:p>
                    <w:p>
                      <w:pPr>
                        <w:widowControl/>
                        <w:spacing w:line="240" w:lineRule="exac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单位地址：上海市松江区长塔路465号6幢</w:t>
                      </w:r>
                    </w:p>
                    <w:p/>
                  </w:txbxContent>
                </v:textbox>
              </v:shape>
            </w:pict>
          </mc:Fallback>
        </mc:AlternateContent>
      </w:r>
      <w:r>
        <w:rPr>
          <w:rFonts w:hint="eastAsia" w:ascii="宋体" w:hAnsi="宋体" w:eastAsia="宋体" w:cs="宋体"/>
          <w:color w:val="000000"/>
          <w:sz w:val="27"/>
        </w:rPr>
        <w:drawing>
          <wp:inline distT="0" distB="0" distL="114300" distR="114300">
            <wp:extent cx="1139825" cy="1139825"/>
            <wp:effectExtent l="0" t="0" r="3175" b="3175"/>
            <wp:docPr id="2" name="图片 2" descr="图片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图片1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139825" cy="1139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sz w:val="24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Verdana">
    <w:panose1 w:val="020B0604030504040204"/>
    <w:charset w:val="00"/>
    <w:family w:val="auto"/>
    <w:pitch w:val="default"/>
    <w:sig w:usb0="A00006FF" w:usb1="4000205B" w:usb2="00000010" w:usb3="00000000" w:csb0="2000019F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0EDBA36"/>
    <w:multiLevelType w:val="singleLevel"/>
    <w:tmpl w:val="90EDBA36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7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ZmM5NTI2NDEyOTg0Njk4NTUxZmQwNmE2YTExNGRlMWIifQ=="/>
  </w:docVars>
  <w:rsids>
    <w:rsidRoot w:val="00D52787"/>
    <w:rsid w:val="000A27FD"/>
    <w:rsid w:val="000A693F"/>
    <w:rsid w:val="000D109E"/>
    <w:rsid w:val="00111CD5"/>
    <w:rsid w:val="00152186"/>
    <w:rsid w:val="00274F95"/>
    <w:rsid w:val="002C09EA"/>
    <w:rsid w:val="004A2DF7"/>
    <w:rsid w:val="005B6334"/>
    <w:rsid w:val="00774A1C"/>
    <w:rsid w:val="007D0CF6"/>
    <w:rsid w:val="00870DD5"/>
    <w:rsid w:val="008D5985"/>
    <w:rsid w:val="009518C5"/>
    <w:rsid w:val="009525ED"/>
    <w:rsid w:val="00952D32"/>
    <w:rsid w:val="00A10FC9"/>
    <w:rsid w:val="00AE4F36"/>
    <w:rsid w:val="00B15AA5"/>
    <w:rsid w:val="00D262CC"/>
    <w:rsid w:val="00D50829"/>
    <w:rsid w:val="00D52787"/>
    <w:rsid w:val="00E27895"/>
    <w:rsid w:val="00E3650C"/>
    <w:rsid w:val="00E42FCA"/>
    <w:rsid w:val="00E83EC2"/>
    <w:rsid w:val="00E8473F"/>
    <w:rsid w:val="00ED111B"/>
    <w:rsid w:val="00F15AF8"/>
    <w:rsid w:val="02B36440"/>
    <w:rsid w:val="03747AFA"/>
    <w:rsid w:val="03AE785E"/>
    <w:rsid w:val="083349B1"/>
    <w:rsid w:val="0A9178F5"/>
    <w:rsid w:val="0B0A18F7"/>
    <w:rsid w:val="0C337E62"/>
    <w:rsid w:val="0D7161B9"/>
    <w:rsid w:val="0DB55C74"/>
    <w:rsid w:val="10D336A8"/>
    <w:rsid w:val="159E0138"/>
    <w:rsid w:val="187C5ADC"/>
    <w:rsid w:val="18B47D79"/>
    <w:rsid w:val="1ACB7423"/>
    <w:rsid w:val="1B9E73A9"/>
    <w:rsid w:val="1DB765F0"/>
    <w:rsid w:val="1E6F3123"/>
    <w:rsid w:val="208573F9"/>
    <w:rsid w:val="21B5540B"/>
    <w:rsid w:val="22975DA2"/>
    <w:rsid w:val="22B22269"/>
    <w:rsid w:val="22BE6287"/>
    <w:rsid w:val="235D2BD8"/>
    <w:rsid w:val="24660F48"/>
    <w:rsid w:val="28E8199C"/>
    <w:rsid w:val="290D1232"/>
    <w:rsid w:val="2A3F6D06"/>
    <w:rsid w:val="2AA32FDC"/>
    <w:rsid w:val="2C6C4915"/>
    <w:rsid w:val="2D38228D"/>
    <w:rsid w:val="2D8A0633"/>
    <w:rsid w:val="2FCD7F57"/>
    <w:rsid w:val="30EC3287"/>
    <w:rsid w:val="31B328CE"/>
    <w:rsid w:val="32082C73"/>
    <w:rsid w:val="32E208AC"/>
    <w:rsid w:val="34982B94"/>
    <w:rsid w:val="383006CD"/>
    <w:rsid w:val="3A4820F4"/>
    <w:rsid w:val="3A9A12C1"/>
    <w:rsid w:val="3E060958"/>
    <w:rsid w:val="3E3F7458"/>
    <w:rsid w:val="3F4819C0"/>
    <w:rsid w:val="40547DBC"/>
    <w:rsid w:val="45A96F17"/>
    <w:rsid w:val="45E22BAD"/>
    <w:rsid w:val="46ED5CDD"/>
    <w:rsid w:val="4CEB624D"/>
    <w:rsid w:val="4D201F04"/>
    <w:rsid w:val="4D9A7C3A"/>
    <w:rsid w:val="500454B5"/>
    <w:rsid w:val="50E964D4"/>
    <w:rsid w:val="577E5F53"/>
    <w:rsid w:val="597A1264"/>
    <w:rsid w:val="5D3748F8"/>
    <w:rsid w:val="5DB702D2"/>
    <w:rsid w:val="5DB85BB6"/>
    <w:rsid w:val="5F0B4202"/>
    <w:rsid w:val="5F315CF9"/>
    <w:rsid w:val="5F8E596F"/>
    <w:rsid w:val="631F6CA8"/>
    <w:rsid w:val="63E24C08"/>
    <w:rsid w:val="651B2165"/>
    <w:rsid w:val="69176DB0"/>
    <w:rsid w:val="69F027AB"/>
    <w:rsid w:val="6BCE09DE"/>
    <w:rsid w:val="71294619"/>
    <w:rsid w:val="75C21D45"/>
    <w:rsid w:val="77060FAD"/>
    <w:rsid w:val="772513E3"/>
    <w:rsid w:val="78D33D64"/>
    <w:rsid w:val="79356D60"/>
    <w:rsid w:val="7AB95B7D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2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qFormat="1"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after="200" w:line="276" w:lineRule="auto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6"/>
    <w:qFormat/>
    <w:uiPriority w:val="0"/>
    <w:pPr>
      <w:spacing w:after="0" w:line="240" w:lineRule="auto"/>
    </w:pPr>
    <w:rPr>
      <w:rFonts w:ascii="微软雅黑" w:eastAsia="微软雅黑"/>
      <w:sz w:val="18"/>
      <w:szCs w:val="18"/>
    </w:rPr>
  </w:style>
  <w:style w:type="paragraph" w:styleId="3">
    <w:name w:val="footer"/>
    <w:basedOn w:val="1"/>
    <w:link w:val="15"/>
    <w:qFormat/>
    <w:uiPriority w:val="0"/>
    <w:pPr>
      <w:tabs>
        <w:tab w:val="center" w:pos="4680"/>
        <w:tab w:val="right" w:pos="9360"/>
      </w:tabs>
      <w:spacing w:after="0" w:line="240" w:lineRule="auto"/>
    </w:pPr>
  </w:style>
  <w:style w:type="paragraph" w:styleId="4">
    <w:name w:val="header"/>
    <w:basedOn w:val="1"/>
    <w:link w:val="14"/>
    <w:qFormat/>
    <w:uiPriority w:val="0"/>
    <w:pPr>
      <w:tabs>
        <w:tab w:val="center" w:pos="4680"/>
        <w:tab w:val="right" w:pos="9360"/>
      </w:tabs>
      <w:spacing w:after="0" w:line="240" w:lineRule="auto"/>
    </w:p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8">
    <w:name w:val="FollowedHyperlink"/>
    <w:basedOn w:val="7"/>
    <w:qFormat/>
    <w:uiPriority w:val="0"/>
    <w:rPr>
      <w:color w:val="666666"/>
      <w:u w:val="none"/>
    </w:rPr>
  </w:style>
  <w:style w:type="character" w:styleId="9">
    <w:name w:val="Emphasis"/>
    <w:basedOn w:val="7"/>
    <w:qFormat/>
    <w:uiPriority w:val="0"/>
  </w:style>
  <w:style w:type="character" w:styleId="10">
    <w:name w:val="Hyperlink"/>
    <w:basedOn w:val="7"/>
    <w:qFormat/>
    <w:uiPriority w:val="0"/>
    <w:rPr>
      <w:color w:val="0000FF"/>
      <w:u w:val="single"/>
    </w:rPr>
  </w:style>
  <w:style w:type="character" w:styleId="11">
    <w:name w:val="HTML Cite"/>
    <w:basedOn w:val="7"/>
    <w:qFormat/>
    <w:uiPriority w:val="0"/>
  </w:style>
  <w:style w:type="paragraph" w:customStyle="1" w:styleId="12">
    <w:name w:val="Normal_1"/>
    <w:qFormat/>
    <w:uiPriority w:val="0"/>
    <w:pPr>
      <w:spacing w:before="120" w:after="240" w:line="276" w:lineRule="auto"/>
      <w:jc w:val="both"/>
    </w:pPr>
    <w:rPr>
      <w:rFonts w:ascii="Calibri" w:hAnsi="Calibri" w:eastAsia="Calibri" w:cs="Times New Roman"/>
      <w:sz w:val="22"/>
      <w:szCs w:val="22"/>
      <w:lang w:val="ru-RU" w:eastAsia="en-US" w:bidi="ar-SA"/>
    </w:rPr>
  </w:style>
  <w:style w:type="paragraph" w:customStyle="1" w:styleId="13">
    <w:name w:val="Normal_0"/>
    <w:qFormat/>
    <w:uiPriority w:val="0"/>
    <w:pPr>
      <w:spacing w:before="120" w:after="240" w:line="276" w:lineRule="auto"/>
      <w:jc w:val="both"/>
    </w:pPr>
    <w:rPr>
      <w:rFonts w:ascii="Calibri" w:hAnsi="Calibri" w:eastAsia="Calibri" w:cs="Times New Roman"/>
      <w:sz w:val="22"/>
      <w:szCs w:val="22"/>
      <w:lang w:val="ru-RU" w:eastAsia="en-US" w:bidi="ar-SA"/>
    </w:rPr>
  </w:style>
  <w:style w:type="character" w:customStyle="1" w:styleId="14">
    <w:name w:val="页眉 字符"/>
    <w:basedOn w:val="7"/>
    <w:link w:val="4"/>
    <w:qFormat/>
    <w:uiPriority w:val="0"/>
    <w:rPr>
      <w:rFonts w:asciiTheme="minorHAnsi" w:hAnsiTheme="minorHAnsi" w:eastAsiaTheme="minorEastAsia" w:cstheme="minorBidi"/>
      <w:kern w:val="2"/>
      <w:sz w:val="21"/>
      <w:szCs w:val="24"/>
    </w:rPr>
  </w:style>
  <w:style w:type="character" w:customStyle="1" w:styleId="15">
    <w:name w:val="页脚 字符"/>
    <w:basedOn w:val="7"/>
    <w:link w:val="3"/>
    <w:qFormat/>
    <w:uiPriority w:val="0"/>
    <w:rPr>
      <w:rFonts w:asciiTheme="minorHAnsi" w:hAnsiTheme="minorHAnsi" w:eastAsiaTheme="minorEastAsia" w:cstheme="minorBidi"/>
      <w:kern w:val="2"/>
      <w:sz w:val="21"/>
      <w:szCs w:val="24"/>
    </w:rPr>
  </w:style>
  <w:style w:type="character" w:customStyle="1" w:styleId="16">
    <w:name w:val="批注框文本 字符"/>
    <w:basedOn w:val="7"/>
    <w:link w:val="2"/>
    <w:qFormat/>
    <w:uiPriority w:val="0"/>
    <w:rPr>
      <w:rFonts w:ascii="微软雅黑" w:eastAsia="微软雅黑" w:hAnsiTheme="minorHAnsi" w:cstheme="minorBidi"/>
      <w:kern w:val="2"/>
      <w:sz w:val="18"/>
      <w:szCs w:val="18"/>
    </w:rPr>
  </w:style>
  <w:style w:type="character" w:customStyle="1" w:styleId="17">
    <w:name w:val="best"/>
    <w:basedOn w:val="7"/>
    <w:qFormat/>
    <w:uiPriority w:val="0"/>
  </w:style>
  <w:style w:type="character" w:customStyle="1" w:styleId="18">
    <w:name w:val="hdfk"/>
    <w:basedOn w:val="7"/>
    <w:qFormat/>
    <w:uiPriority w:val="0"/>
  </w:style>
  <w:style w:type="character" w:customStyle="1" w:styleId="19">
    <w:name w:val="news"/>
    <w:basedOn w:val="7"/>
    <w:qFormat/>
    <w:uiPriority w:val="0"/>
  </w:style>
  <w:style w:type="character" w:customStyle="1" w:styleId="20">
    <w:name w:val="hot2"/>
    <w:basedOn w:val="7"/>
    <w:qFormat/>
    <w:uiPriority w:val="0"/>
  </w:style>
  <w:style w:type="character" w:customStyle="1" w:styleId="21">
    <w:name w:val="spanr"/>
    <w:basedOn w:val="7"/>
    <w:qFormat/>
    <w:uiPriority w:val="0"/>
  </w:style>
  <w:style w:type="character" w:customStyle="1" w:styleId="22">
    <w:name w:val="help"/>
    <w:basedOn w:val="7"/>
    <w:qFormat/>
    <w:uiPriority w:val="0"/>
  </w:style>
  <w:style w:type="character" w:customStyle="1" w:styleId="23">
    <w:name w:val="hot"/>
    <w:basedOn w:val="7"/>
    <w:qFormat/>
    <w:uiPriority w:val="0"/>
  </w:style>
  <w:style w:type="character" w:customStyle="1" w:styleId="24">
    <w:name w:val="require-field"/>
    <w:basedOn w:val="7"/>
    <w:qFormat/>
    <w:uiPriority w:val="0"/>
    <w:rPr>
      <w:rFonts w:ascii="Verdana" w:hAnsi="Verdana" w:cs="Verdana"/>
      <w:color w:val="FF0000"/>
      <w:sz w:val="18"/>
      <w:szCs w:val="18"/>
    </w:rPr>
  </w:style>
  <w:style w:type="character" w:customStyle="1" w:styleId="25">
    <w:name w:val="link-span"/>
    <w:basedOn w:val="7"/>
    <w:qFormat/>
    <w:uiPriority w:val="0"/>
    <w:rPr>
      <w:color w:val="999999"/>
      <w:bdr w:val="single" w:color="999999" w:sz="12" w:space="0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image" Target="media/image3.png"/><Relationship Id="rId7" Type="http://schemas.openxmlformats.org/officeDocument/2006/relationships/image" Target="media/image2.jpeg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numbering" Target="numbering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txDef>
      <a:spPr>
        <a:solidFill>
          <a:schemeClr val="lt1"/>
        </a:solidFill>
        <a:ln w="6350">
          <a:solidFill>
            <a:prstClr val="black"/>
          </a:solidFill>
        </a:ln>
      </a:spPr>
      <a:bodyPr rot="0" vertOverflow="overflow" horzOverflow="overflow" vert="horz" wrap="square" lIns="91440" tIns="45720" rIns="91440" bIns="45720" numCol="1" spcCol="0" rtlCol="0" fromWordArt="0" anchor="t" anchorCtr="0" forceAA="0" compatLnSpc="1"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dk1"/>
        </a:fontRef>
      </a:style>
    </a:txDef>
  </a:objectDefaults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874</Words>
  <Characters>985</Characters>
  <Lines>7</Lines>
  <Paragraphs>2</Paragraphs>
  <TotalTime>6</TotalTime>
  <ScaleCrop>false</ScaleCrop>
  <LinksUpToDate>false</LinksUpToDate>
  <CharactersWithSpaces>1023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2022-11-22T02:20:00Z</dcterms:created>
  <dc:creator>86138</dc:creator>
  <cp:lastModifiedBy>飞</cp:lastModifiedBy>
  <dcterms:modified xsi:type="dcterms:W3CDTF">2023-10-21T05:16:05Z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6E20E9184D96449A9A4D0B89C8C4EBCF_13</vt:lpwstr>
  </property>
</Properties>
</file>