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rPr>
          <w:rFonts w:hint="eastAsia" w:ascii="宋体" w:hAnsi="宋体" w:cs="宋体"/>
          <w:color w:val="000000"/>
          <w:sz w:val="24"/>
        </w:rPr>
      </w:pPr>
    </w:p>
    <w:p>
      <w:pPr>
        <w:pStyle w:val="9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eastAsia="宋体"/>
          <w:color w:val="0D0D0D" w:themeColor="text1" w:themeTint="F2"/>
          <w:sz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ascii="宋体" w:eastAsia="宋体"/>
          <w:color w:val="0D0D0D" w:themeColor="text1" w:themeTint="F2"/>
          <w:sz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B62375</w:t>
      </w:r>
    </w:p>
    <w:p>
      <w:pPr>
        <w:spacing w:line="400" w:lineRule="exact"/>
        <w:ind w:firstLine="420" w:firstLineChars="200"/>
        <w:rPr>
          <w:rFonts w:ascii="宋体" w:hAnsi="宋体" w:eastAsia="Calibri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color w:val="0D0D0D" w:themeColor="text1" w:themeTint="F2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drawing>
          <wp:anchor distT="0" distB="0" distL="114300" distR="114300" simplePos="0" relativeHeight="251659264" behindDoc="1" locked="1" layoutInCell="1" allowOverlap="1">
            <wp:simplePos x="0" y="0"/>
            <wp:positionH relativeFrom="page">
              <wp:posOffset>1142365</wp:posOffset>
            </wp:positionH>
            <wp:positionV relativeFrom="page">
              <wp:posOffset>464820</wp:posOffset>
            </wp:positionV>
            <wp:extent cx="5645785" cy="9620250"/>
            <wp:effectExtent l="0" t="0" r="5715" b="635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45785" cy="962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Calibri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Calibri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Calibri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Calibri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Calibri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Calibri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pStyle w:val="9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cs="宋体"/>
          <w:color w:val="0D0D0D" w:themeColor="text1" w:themeTint="F2"/>
          <w:sz w:val="48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ascii="宋体" w:hAnsi="宋体" w:cs="宋体"/>
          <w:color w:val="0D0D0D" w:themeColor="text1" w:themeTint="F2"/>
          <w:sz w:val="48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标 准 物 质 证 书</w:t>
      </w:r>
    </w:p>
    <w:p>
      <w:pPr>
        <w:pStyle w:val="9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D0D0D" w:themeColor="text1" w:themeTint="F2"/>
          <w:sz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水中磷酸根（以磷酸根计）</w:t>
      </w:r>
    </w:p>
    <w:p>
      <w:pPr>
        <w:pStyle w:val="9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hAnsi="宋体" w:eastAsia="宋体" w:cs="宋体"/>
          <w:color w:val="0D0D0D" w:themeColor="text1" w:themeTint="F2"/>
          <w:sz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pStyle w:val="9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cs="宋体"/>
          <w:color w:val="0D0D0D" w:themeColor="text1" w:themeTint="F2"/>
          <w:sz w:val="48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Calibri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Calibri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Calibri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Calibri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Calibri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Calibri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Calibri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Calibri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Calibri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Calibri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Calibri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tabs>
          <w:tab w:val="left" w:pos="6150"/>
        </w:tabs>
        <w:spacing w:line="400" w:lineRule="exact"/>
        <w:ind w:firstLine="480" w:firstLineChars="200"/>
        <w:rPr>
          <w:rFonts w:ascii="宋体" w:hAnsi="宋体" w:eastAsia="Calibri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ascii="宋体" w:hAnsi="宋体" w:eastAsia="Calibri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ab/>
      </w:r>
    </w:p>
    <w:p>
      <w:pPr>
        <w:pStyle w:val="9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cs="宋体" w:asciiTheme="minorHAnsi" w:hAnsiTheme="minorHAnsi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ascii="宋体" w:hAnsi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批  号:    </w:t>
      </w:r>
      <w:r>
        <w:rPr>
          <w:rFonts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M31HB179799</w:t>
      </w:r>
    </w:p>
    <w:p>
      <w:pPr>
        <w:pStyle w:val="9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ascii="宋体" w:hAnsi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定值日期:  20</w:t>
      </w:r>
      <w:r>
        <w:rPr>
          <w:rFonts w:cs="宋体" w:asciiTheme="minorEastAsia" w:hAnsiTheme="minorEastAsia" w:eastAsiaTheme="minorEastAsia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2</w:t>
      </w:r>
      <w:r>
        <w:rPr>
          <w:rFonts w:ascii="宋体" w:hAnsi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2 年 </w:t>
      </w:r>
      <w:r>
        <w:rPr>
          <w:rFonts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03</w:t>
      </w:r>
      <w:r>
        <w:rPr>
          <w:rFonts w:ascii="宋体" w:hAnsi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月 </w:t>
      </w:r>
      <w:r>
        <w:rPr>
          <w:rFonts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07</w:t>
      </w:r>
      <w:r>
        <w:rPr>
          <w:rFonts w:ascii="宋体" w:hAnsi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日</w:t>
      </w:r>
    </w:p>
    <w:p>
      <w:pPr>
        <w:pStyle w:val="9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ascii="宋体" w:hAnsi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有效期至:  202</w:t>
      </w:r>
      <w:r>
        <w:rPr>
          <w:rFonts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5</w:t>
      </w:r>
      <w:r>
        <w:rPr>
          <w:rFonts w:ascii="宋体" w:hAnsi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年 </w:t>
      </w:r>
      <w:r>
        <w:rPr>
          <w:rFonts w:cs="宋体" w:asciiTheme="minorHAnsi" w:hAnsiTheme="minorHAnsi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03</w:t>
      </w:r>
      <w:r>
        <w:rPr>
          <w:rFonts w:ascii="宋体" w:hAnsi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月 </w:t>
      </w:r>
      <w:r>
        <w:rPr>
          <w:rFonts w:eastAsia="宋体" w:cs="宋体" w:asciiTheme="minorHAnsi" w:hAnsiTheme="minorHAnsi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06</w:t>
      </w:r>
      <w:r>
        <w:rPr>
          <w:rFonts w:ascii="宋体" w:hAnsi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日</w:t>
      </w:r>
    </w:p>
    <w:p>
      <w:pPr>
        <w:spacing w:line="400" w:lineRule="exact"/>
        <w:ind w:firstLine="480" w:firstLineChars="200"/>
        <w:rPr>
          <w:rFonts w:ascii="宋体" w:hAnsi="宋体" w:eastAsia="Calibri" w:cs="宋体"/>
          <w:color w:val="0D0D0D" w:themeColor="text1" w:themeTint="F2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Calibri" w:cs="宋体"/>
          <w:color w:val="0D0D0D" w:themeColor="text1" w:themeTint="F2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Calibri" w:cs="宋体"/>
          <w:color w:val="0D0D0D" w:themeColor="text1" w:themeTint="F2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Calibri" w:cs="宋体"/>
          <w:color w:val="0D0D0D" w:themeColor="text1" w:themeTint="F2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Calibri" w:cs="宋体"/>
          <w:color w:val="0D0D0D" w:themeColor="text1" w:themeTint="F2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Calibri" w:cs="宋体"/>
          <w:color w:val="0D0D0D" w:themeColor="text1" w:themeTint="F2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Calibri" w:cs="宋体"/>
          <w:color w:val="0D0D0D" w:themeColor="text1" w:themeTint="F2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Calibri" w:cs="宋体"/>
          <w:color w:val="0D0D0D" w:themeColor="text1" w:themeTint="F2"/>
          <w:sz w:val="24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pStyle w:val="9"/>
        <w:framePr w:w="3726" w:wrap="around" w:vAnchor="page" w:hAnchor="page" w:x="4101" w:y="1266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上海源叶生物</w:t>
      </w:r>
      <w:r>
        <w:rPr>
          <w:rFonts w:ascii="宋体" w:hAnsi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科技有限公司</w:t>
      </w:r>
    </w:p>
    <w:p>
      <w:pPr>
        <w:pStyle w:val="9"/>
        <w:framePr w:w="3726" w:wrap="around" w:vAnchor="page" w:hAnchor="page" w:x="4101" w:y="12666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中国    上海</w:t>
      </w:r>
    </w:p>
    <w:p>
      <w:pPr>
        <w:spacing w:line="400" w:lineRule="exact"/>
        <w:ind w:firstLine="420" w:firstLineChars="200"/>
        <w:rPr>
          <w:rFonts w:ascii="宋体" w:hAnsi="宋体" w:eastAsia="Calibri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/>
          <w:color w:val="0D0D0D" w:themeColor="text1" w:themeTint="F2"/>
          <w:szCs w:val="32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1590040</wp:posOffset>
            </wp:positionH>
            <wp:positionV relativeFrom="paragraph">
              <wp:posOffset>18415</wp:posOffset>
            </wp:positionV>
            <wp:extent cx="1862455" cy="1862455"/>
            <wp:effectExtent l="0" t="0" r="444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62455" cy="186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Calibri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Calibri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Calibri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Calibri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Calibri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ascii="宋体" w:hAnsi="宋体" w:eastAsia="Calibri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本标准物质主要用于测量仪器校准,分析方法</w:t>
      </w:r>
      <w:r>
        <w:rPr>
          <w:rFonts w:hint="eastAsia" w:ascii="宋体" w:hAnsi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确认与</w:t>
      </w:r>
      <w:r>
        <w:rPr>
          <w:rFonts w:ascii="宋体" w:hAnsi="宋体" w:eastAsia="Calibri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评价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，测量过程</w:t>
      </w:r>
      <w:r>
        <w:rPr>
          <w:rFonts w:ascii="宋体" w:hAnsi="宋体" w:eastAsia="Calibri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质量控制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及技术仲裁与认证评价</w:t>
      </w:r>
      <w:r>
        <w:rPr>
          <w:rFonts w:ascii="宋体" w:hAnsi="宋体" w:eastAsia="Calibri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也可作为标准储备溶液，通过逐级稀释配制成各种工作用标准溶液。本物质适用于离子色谱法等分析方法测试使用。</w:t>
      </w:r>
    </w:p>
    <w:p>
      <w:pPr>
        <w:spacing w:line="400" w:lineRule="exact"/>
        <w:rPr>
          <w:rFonts w:ascii="宋体" w:hAnsi="宋体" w:eastAsia="Calibri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一、</w:t>
      </w:r>
      <w:r>
        <w:rPr>
          <w:rFonts w:ascii="宋体" w:hAnsi="宋体" w:eastAsia="Calibri" w:cs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样品制备</w:t>
      </w:r>
    </w:p>
    <w:p>
      <w:pPr>
        <w:pStyle w:val="8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ascii="宋体" w:hAnsi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本标准物质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以高纯磷酸二氢钾和符合国家一级水标准的纯水作为原料，在（2</w:t>
      </w:r>
      <w:r>
        <w:rPr>
          <w:rFonts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0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±3）℃的恒温条件下采用重量</w:t>
      </w:r>
      <w:r>
        <w:rPr>
          <w:rFonts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-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容量法准确配制而成。</w:t>
      </w:r>
    </w:p>
    <w:p>
      <w:pPr>
        <w:pStyle w:val="8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cs="宋体"/>
          <w:color w:val="0D0D0D" w:themeColor="text1" w:themeTint="F2"/>
          <w:sz w:val="28"/>
          <w:szCs w:val="28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8"/>
          <w:szCs w:val="28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二</w:t>
      </w:r>
      <w:r>
        <w:rPr>
          <w:rFonts w:ascii="宋体" w:hAnsi="宋体" w:cs="宋体"/>
          <w:color w:val="0D0D0D" w:themeColor="text1" w:themeTint="F2"/>
          <w:sz w:val="28"/>
          <w:szCs w:val="28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、溯源性及定值方法</w:t>
      </w:r>
    </w:p>
    <w:p>
      <w:pPr>
        <w:pStyle w:val="8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本标准物质以配置值作为标准值，采用离子色谱法进行量值核对。通过满足计量学特性要求的制备方法，测量方法和计量器具，保证标准物质的量值溯源性。</w:t>
      </w:r>
    </w:p>
    <w:p>
      <w:pPr>
        <w:spacing w:line="400" w:lineRule="exact"/>
        <w:rPr>
          <w:rFonts w:ascii="宋体" w:hAnsi="宋体" w:eastAsia="Calibri" w:cs="宋体"/>
          <w:color w:val="0D0D0D" w:themeColor="text1" w:themeTint="F2"/>
          <w:sz w:val="28"/>
          <w:szCs w:val="28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三、</w:t>
      </w:r>
      <w:r>
        <w:rPr>
          <w:rFonts w:ascii="宋体" w:hAnsi="宋体" w:eastAsia="Calibri" w:cs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特性量值及不确定度</w:t>
      </w:r>
    </w:p>
    <w:tbl>
      <w:tblPr>
        <w:tblStyle w:val="5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1"/>
        <w:gridCol w:w="1898"/>
        <w:gridCol w:w="2004"/>
        <w:gridCol w:w="32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编号</w:t>
            </w:r>
          </w:p>
        </w:tc>
        <w:tc>
          <w:tcPr>
            <w:tcW w:w="189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名称</w:t>
            </w:r>
          </w:p>
        </w:tc>
        <w:tc>
          <w:tcPr>
            <w:tcW w:w="200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标准值（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mg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/L）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相对扩展不确定度（%）(k=2)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32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B62375</w:t>
            </w:r>
          </w:p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9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水中磷酸根（以磷酸根计）</w:t>
            </w:r>
          </w:p>
        </w:tc>
        <w:tc>
          <w:tcPr>
            <w:tcW w:w="2004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100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</w:tr>
    </w:tbl>
    <w:p>
      <w:pPr>
        <w:spacing w:line="400" w:lineRule="exact"/>
        <w:rPr>
          <w:rFonts w:ascii="宋体" w:hAnsi="宋体" w:eastAsia="宋体" w:cs="宋体"/>
          <w:color w:val="FF0000"/>
          <w:sz w:val="24"/>
        </w:rPr>
      </w:pPr>
      <w:r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标准值的不确定度主要由原料纯度，称量，定容以及均匀性，稳定性等不确定度分量合成。</w:t>
      </w:r>
    </w:p>
    <w:p>
      <w:pPr>
        <w:spacing w:line="400" w:lineRule="exact"/>
        <w:rPr>
          <w:rFonts w:ascii="宋体" w:hAnsi="宋体" w:eastAsia="Calibri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四、</w:t>
      </w:r>
      <w:r>
        <w:rPr>
          <w:rFonts w:ascii="宋体" w:hAnsi="宋体" w:eastAsia="Calibri" w:cs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均匀性检验及稳定性考察</w:t>
      </w:r>
    </w:p>
    <w:p>
      <w:pPr>
        <w:pStyle w:val="8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依据JJF1343 [标准物质定值的通用原则及统计学原理]，对分装后的样品进行随机抽样，对溶液浓度进行均匀性检验，稳定性考察。结果表明，本标准物质均匀性、稳定性良好。</w:t>
      </w:r>
    </w:p>
    <w:p>
      <w:pPr>
        <w:pStyle w:val="8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cs="宋体" w:eastAsiaTheme="minorEastAsia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该标准物质自定值日期起，有效期</w:t>
      </w:r>
      <w:r>
        <w:rPr>
          <w:rFonts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3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年，</w:t>
      </w:r>
      <w:r>
        <w:rPr>
          <w:rFonts w:hint="eastAsia" w:ascii="宋体" w:hAnsi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研制单位将继续监测该标准物质的稳定性，有效期内如发现量值变化，将及时通知用户。</w:t>
      </w:r>
    </w:p>
    <w:p>
      <w:pPr>
        <w:spacing w:line="400" w:lineRule="exact"/>
        <w:rPr>
          <w:rFonts w:ascii="宋体" w:hAnsi="宋体" w:eastAsia="Calibri" w:cs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五、</w:t>
      </w:r>
      <w:r>
        <w:rPr>
          <w:rFonts w:ascii="宋体" w:hAnsi="宋体" w:eastAsia="Calibri" w:cs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包装、运输和贮存、使用及注意事项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1.</w:t>
      </w:r>
      <w:r>
        <w:rPr>
          <w:rFonts w:ascii="宋体" w:hAnsi="宋体" w:eastAsia="Calibri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包装: 本标准物质采用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高密度聚乙烯（H</w:t>
      </w:r>
      <w:r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DPE）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瓶包装，5</w:t>
      </w:r>
      <w:r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0ml/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瓶，移取或稀释请以移液管量取为准。</w:t>
      </w:r>
    </w:p>
    <w:p>
      <w:pPr>
        <w:pStyle w:val="8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ascii="宋体" w:hAnsi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2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.</w:t>
      </w:r>
      <w:r>
        <w:rPr>
          <w:rFonts w:ascii="宋体" w:hAnsi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运输和贮存:运输时应避免挤压,碰撞；冷藏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（2—8）℃，避光</w:t>
      </w:r>
      <w:r>
        <w:rPr>
          <w:rFonts w:ascii="宋体" w:hAnsi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贮存。</w:t>
      </w:r>
    </w:p>
    <w:p>
      <w:pPr>
        <w:pStyle w:val="8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ascii="宋体" w:hAnsi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3.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使用</w:t>
      </w:r>
      <w:r>
        <w:rPr>
          <w:rFonts w:ascii="宋体" w:hAnsi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: 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使用前应恒温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（2</w:t>
      </w:r>
      <w:r>
        <w:rPr>
          <w:rFonts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0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±3）℃，并充分摇匀。温度变化会导致溶液体积发生变化，可根据</w:t>
      </w:r>
      <w:r>
        <w:rPr>
          <w:rFonts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GB/T601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附录A进行体积校正。标准物质开封后应尽快使用，避免玷污。</w:t>
      </w:r>
      <w:bookmarkStart w:id="0" w:name="_GoBack"/>
      <w:bookmarkEnd w:id="0"/>
    </w:p>
    <w:p>
      <w:pPr>
        <w:rPr>
          <w:b/>
          <w:bCs/>
          <w:sz w:val="18"/>
          <w:szCs w:val="18"/>
        </w:rPr>
      </w:pPr>
      <w:r>
        <w:rPr>
          <w:rFonts w:hint="eastAsia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sz w:val="18"/>
          <w:szCs w:val="18"/>
        </w:rPr>
      </w:pPr>
      <w:r>
        <w:rPr>
          <w:rFonts w:hint="eastAsia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sz w:val="18"/>
          <w:szCs w:val="18"/>
        </w:rPr>
      </w:pPr>
      <w:r>
        <w:rPr>
          <w:rFonts w:hint="eastAsia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sz w:val="18"/>
          <w:szCs w:val="18"/>
        </w:rPr>
      </w:pPr>
      <w:r>
        <w:rPr>
          <w:rFonts w:hint="eastAsia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sz w:val="18"/>
          <w:szCs w:val="18"/>
        </w:rPr>
      </w:pPr>
      <w:r>
        <w:rPr>
          <w:rFonts w:hint="eastAsia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szCs w:val="21"/>
        </w:rPr>
      </w:pPr>
    </w:p>
    <w:p>
      <w:pPr>
        <w:rPr>
          <w:rFonts w:ascii="宋体" w:hAnsi="宋体" w:eastAsia="Calibri" w:cs="宋体"/>
          <w:color w:val="000000"/>
          <w:sz w:val="27"/>
        </w:rPr>
      </w:pPr>
      <w:r>
        <w:rPr>
          <w:sz w:val="27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9658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widowControl/>
                              <w:spacing w:line="30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widowControl/>
                              <w:spacing w:line="30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7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7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widowControl/>
                              <w:spacing w:line="30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技术咨询：13817923140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7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7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widowControl/>
                              <w:spacing w:line="30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76.05pt;width:321.15pt;z-index:251660288;mso-width-relative:page;mso-height-relative:page;" filled="f" stroked="f" coordsize="21600,21600" o:gfxdata="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BGW4E82gAAAAoBAAAPAAAAAAAA&#10;AAEAIAAAACIAAABkcnMvZG93bnJldi54bWxQSwECFAAUAAAACACHTuJAqaMwqkkCAAByBAAADgAA&#10;AAAAAAABACAAAAApAQAAZHJzL2Uyb0RvYy54bWxQSwUGAAAAAAYABgBZAQAA5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widowControl/>
                        <w:spacing w:line="30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widowControl/>
                        <w:spacing w:line="30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7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7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widowControl/>
                        <w:spacing w:line="30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技术咨询：13817923140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7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7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widowControl/>
                        <w:spacing w:line="30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Calibri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Calibri" w:cs="宋体"/>
          <w:color w:val="000000"/>
          <w:sz w:val="27"/>
        </w:rPr>
      </w:pPr>
    </w:p>
    <w:p>
      <w:pPr>
        <w:rPr>
          <w:rFonts w:ascii="宋体" w:hAnsi="宋体" w:eastAsia="Calibri" w:cs="宋体"/>
          <w:color w:val="000000"/>
          <w:sz w:val="27"/>
        </w:rPr>
      </w:pPr>
    </w:p>
    <w:p>
      <w:pPr>
        <w:rPr>
          <w:rFonts w:ascii="宋体" w:hAnsi="宋体" w:eastAsia="Calibri" w:cs="宋体"/>
          <w:color w:val="000000"/>
          <w:sz w:val="27"/>
        </w:rPr>
      </w:pPr>
    </w:p>
    <w:p>
      <w:pPr>
        <w:rPr>
          <w:rFonts w:ascii="宋体" w:hAnsi="宋体" w:eastAsia="Calibri" w:cs="宋体"/>
          <w:color w:val="000000"/>
          <w:sz w:val="27"/>
        </w:rPr>
      </w:pPr>
    </w:p>
    <w:p>
      <w:pPr>
        <w:rPr>
          <w:rFonts w:ascii="宋体" w:hAnsi="宋体" w:eastAsia="Calibri" w:cs="宋体"/>
          <w:color w:val="000000"/>
          <w:sz w:val="27"/>
        </w:rPr>
      </w:pPr>
    </w:p>
    <w:p>
      <w:pPr>
        <w:rPr>
          <w:rFonts w:ascii="宋体" w:hAnsi="宋体" w:eastAsia="Calibri" w:cs="宋体"/>
          <w:color w:val="000000"/>
          <w:sz w:val="27"/>
        </w:rPr>
      </w:pPr>
    </w:p>
    <w:p>
      <w:pPr>
        <w:rPr>
          <w:rFonts w:ascii="宋体" w:hAnsi="宋体" w:eastAsia="Calibri" w:cs="宋体"/>
          <w:color w:val="000000"/>
          <w:sz w:val="27"/>
        </w:rPr>
      </w:pPr>
    </w:p>
    <w:p>
      <w:pPr>
        <w:rPr>
          <w:rFonts w:ascii="宋体" w:hAnsi="宋体" w:eastAsia="Calibri" w:cs="宋体"/>
          <w:color w:val="000000"/>
          <w:sz w:val="27"/>
        </w:rPr>
      </w:pPr>
    </w:p>
    <w:p>
      <w:pPr>
        <w:rPr>
          <w:rFonts w:ascii="宋体" w:hAnsi="宋体" w:eastAsia="Calibri" w:cs="宋体"/>
          <w:color w:val="000000"/>
          <w:sz w:val="27"/>
        </w:rPr>
      </w:pPr>
    </w:p>
    <w:p>
      <w:pPr>
        <w:rPr>
          <w:rFonts w:ascii="宋体" w:hAnsi="宋体" w:eastAsia="Calibri" w:cs="宋体"/>
          <w:color w:val="000000"/>
          <w:sz w:val="27"/>
        </w:rPr>
      </w:pPr>
    </w:p>
    <w:p>
      <w:pPr>
        <w:rPr>
          <w:rFonts w:ascii="宋体" w:hAnsi="宋体" w:eastAsia="Calibri" w:cs="宋体"/>
          <w:color w:val="000000"/>
          <w:sz w:val="27"/>
        </w:rPr>
      </w:pPr>
    </w:p>
    <w:p>
      <w:pPr>
        <w:rPr>
          <w:rFonts w:ascii="宋体" w:hAnsi="宋体" w:eastAsia="Calibri" w:cs="宋体"/>
          <w:color w:val="000000"/>
          <w:sz w:val="27"/>
        </w:rPr>
      </w:pPr>
    </w:p>
    <w:p>
      <w:pPr>
        <w:rPr>
          <w:rFonts w:ascii="宋体" w:hAnsi="宋体" w:eastAsia="Calibri" w:cs="宋体"/>
          <w:color w:val="000000"/>
          <w:sz w:val="27"/>
        </w:rPr>
      </w:pPr>
    </w:p>
    <w:p>
      <w:pPr>
        <w:rPr>
          <w:rFonts w:ascii="宋体" w:hAnsi="宋体" w:eastAsia="Calibri" w:cs="宋体"/>
          <w:color w:val="000000"/>
          <w:sz w:val="27"/>
        </w:rPr>
      </w:pPr>
    </w:p>
    <w:p>
      <w:pPr>
        <w:rPr>
          <w:rFonts w:ascii="宋体" w:hAnsi="宋体" w:eastAsia="Calibri" w:cs="宋体"/>
          <w:b/>
          <w:bCs/>
          <w:color w:val="000000"/>
          <w:sz w:val="27"/>
        </w:rPr>
      </w:pPr>
    </w:p>
    <w:p>
      <w:pPr>
        <w:rPr>
          <w:rFonts w:ascii="宋体" w:hAnsi="宋体" w:eastAsia="Calibri" w:cs="宋体"/>
          <w:b/>
          <w:bCs/>
          <w:color w:val="000000"/>
          <w:sz w:val="27"/>
        </w:rPr>
      </w:pPr>
      <w:r>
        <w:rPr>
          <w:rFonts w:hint="eastAsia" w:ascii="宋体" w:hAnsi="宋体" w:eastAsia="Calibri" w:cs="宋体"/>
          <w:b/>
          <w:bCs/>
          <w:color w:val="000000"/>
          <w:sz w:val="27"/>
        </w:rPr>
        <w:t>附件1：HNMR</w:t>
      </w:r>
    </w:p>
    <w:p>
      <w:pPr>
        <w:rPr>
          <w:sz w:val="24"/>
        </w:rPr>
      </w:pPr>
      <w:r>
        <w:rPr>
          <w:sz w:val="24"/>
        </w:rPr>
        <w:drawing>
          <wp:inline distT="0" distB="0" distL="84455" distR="84455">
            <wp:extent cx="5274310" cy="3628390"/>
            <wp:effectExtent l="9525" t="9525" r="19685" b="196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28390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chemeClr val="tx1"/>
                      </a:solidFill>
                      <a:prstDash val="solid"/>
                      <a:miter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sz w:val="24"/>
        </w:rPr>
      </w:pPr>
      <w:r>
        <w:rPr>
          <w:rFonts w:hint="eastAsia"/>
          <w:b/>
          <w:bCs/>
          <w:sz w:val="24"/>
        </w:rPr>
        <w:t>附件2：HPLC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色谱条件</w:t>
      </w:r>
    </w:p>
    <w:p>
      <w:pPr>
        <w:spacing w:line="360" w:lineRule="auto"/>
        <w:rPr>
          <w:kern w:val="0"/>
          <w:sz w:val="24"/>
        </w:rPr>
      </w:pPr>
      <w:r>
        <w:rPr>
          <w:rFonts w:hint="eastAsia"/>
          <w:sz w:val="24"/>
        </w:rPr>
        <w:t>色谱柱：</w:t>
      </w:r>
      <w:r>
        <w:rPr>
          <w:rFonts w:hint="eastAsia"/>
          <w:kern w:val="0"/>
          <w:sz w:val="24"/>
        </w:rPr>
        <w:t>Extend-C18（4.6*250mm，5um）</w:t>
      </w:r>
    </w:p>
    <w:p>
      <w:pPr>
        <w:spacing w:line="360" w:lineRule="auto"/>
        <w:rPr>
          <w:kern w:val="0"/>
          <w:sz w:val="24"/>
        </w:rPr>
      </w:pPr>
      <w:r>
        <w:rPr>
          <w:rFonts w:hint="eastAsia"/>
          <w:kern w:val="0"/>
          <w:sz w:val="24"/>
        </w:rPr>
        <w:t>流动相：A- 0.01% 三氟乙酸水溶液：B-乙腈（A：B=83:17）</w:t>
      </w:r>
    </w:p>
    <w:p>
      <w:pPr>
        <w:spacing w:line="360" w:lineRule="auto"/>
        <w:rPr>
          <w:kern w:val="0"/>
          <w:sz w:val="24"/>
        </w:rPr>
      </w:pPr>
      <w:r>
        <w:rPr>
          <w:rFonts w:hint="eastAsia"/>
          <w:kern w:val="0"/>
          <w:sz w:val="24"/>
        </w:rPr>
        <w:t>检测波长：324nm</w:t>
      </w:r>
    </w:p>
    <w:p>
      <w:pPr>
        <w:spacing w:line="360" w:lineRule="auto"/>
        <w:rPr>
          <w:kern w:val="0"/>
          <w:sz w:val="24"/>
        </w:rPr>
      </w:pPr>
      <w:r>
        <w:rPr>
          <w:rFonts w:hint="eastAsia"/>
          <w:kern w:val="0"/>
          <w:sz w:val="24"/>
        </w:rPr>
        <w:t>溶剂：甲醇溶解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图谱如下：</w:t>
      </w:r>
    </w:p>
    <w:p>
      <w:pPr>
        <w:rPr>
          <w:sz w:val="24"/>
        </w:rPr>
      </w:pPr>
      <w:r>
        <w:rPr>
          <w:b/>
          <w:kern w:val="0"/>
          <w:sz w:val="24"/>
        </w:rPr>
        <w:drawing>
          <wp:inline distT="0" distB="0" distL="0" distR="0">
            <wp:extent cx="5263515" cy="2062480"/>
            <wp:effectExtent l="9525" t="9525" r="15240" b="15875"/>
            <wp:docPr id="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06248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rPr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GViZjE4YTg2YzE0NzllNTUyOGZmM2QxNjg3MThmYTgifQ=="/>
  </w:docVars>
  <w:rsids>
    <w:rsidRoot w:val="00ED02A0"/>
    <w:rsid w:val="00041BFC"/>
    <w:rsid w:val="00157D37"/>
    <w:rsid w:val="00184942"/>
    <w:rsid w:val="00203415"/>
    <w:rsid w:val="0023632B"/>
    <w:rsid w:val="0027614B"/>
    <w:rsid w:val="002954E7"/>
    <w:rsid w:val="002B065E"/>
    <w:rsid w:val="00410F39"/>
    <w:rsid w:val="00594A94"/>
    <w:rsid w:val="00594B50"/>
    <w:rsid w:val="0083708F"/>
    <w:rsid w:val="00954FC9"/>
    <w:rsid w:val="0095524D"/>
    <w:rsid w:val="00AA43BC"/>
    <w:rsid w:val="00C34D0C"/>
    <w:rsid w:val="00D81763"/>
    <w:rsid w:val="00DB61BD"/>
    <w:rsid w:val="00E13EBA"/>
    <w:rsid w:val="00EB0E71"/>
    <w:rsid w:val="00ED02A0"/>
    <w:rsid w:val="03747AFA"/>
    <w:rsid w:val="083349B1"/>
    <w:rsid w:val="089A0C6D"/>
    <w:rsid w:val="0A9178F5"/>
    <w:rsid w:val="0C337E62"/>
    <w:rsid w:val="10563B7F"/>
    <w:rsid w:val="159E0138"/>
    <w:rsid w:val="18B47D79"/>
    <w:rsid w:val="1B2546C2"/>
    <w:rsid w:val="235D2BD8"/>
    <w:rsid w:val="28E8199C"/>
    <w:rsid w:val="32E208AC"/>
    <w:rsid w:val="3E060958"/>
    <w:rsid w:val="40547DBC"/>
    <w:rsid w:val="45A96F17"/>
    <w:rsid w:val="46ED5CDD"/>
    <w:rsid w:val="4D201F04"/>
    <w:rsid w:val="52152534"/>
    <w:rsid w:val="5DB702D2"/>
    <w:rsid w:val="5DB85BB6"/>
    <w:rsid w:val="5F315CF9"/>
    <w:rsid w:val="727226B4"/>
    <w:rsid w:val="75C21D45"/>
    <w:rsid w:val="77060FAD"/>
    <w:rsid w:val="79356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0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Hyperlink"/>
    <w:basedOn w:val="6"/>
    <w:qFormat/>
    <w:uiPriority w:val="0"/>
    <w:rPr>
      <w:color w:val="0000FF"/>
      <w:u w:val="single"/>
    </w:rPr>
  </w:style>
  <w:style w:type="paragraph" w:customStyle="1" w:styleId="8">
    <w:name w:val="Normal_1"/>
    <w:qFormat/>
    <w:uiPriority w:val="0"/>
    <w:pPr>
      <w:spacing w:before="120" w:after="240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9">
    <w:name w:val="Normal_0"/>
    <w:qFormat/>
    <w:uiPriority w:val="0"/>
    <w:pPr>
      <w:spacing w:before="120" w:after="240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0">
    <w:name w:val="页眉 字符"/>
    <w:basedOn w:val="6"/>
    <w:link w:val="3"/>
    <w:uiPriority w:val="0"/>
    <w:rPr>
      <w:kern w:val="2"/>
      <w:sz w:val="18"/>
      <w:szCs w:val="18"/>
    </w:rPr>
  </w:style>
  <w:style w:type="character" w:customStyle="1" w:styleId="11">
    <w:name w:val="页脚 字符"/>
    <w:basedOn w:val="6"/>
    <w:link w:val="2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emf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921</Words>
  <Characters>1060</Characters>
  <Lines>8</Lines>
  <Paragraphs>2</Paragraphs>
  <TotalTime>13</TotalTime>
  <ScaleCrop>false</ScaleCrop>
  <LinksUpToDate>false</LinksUpToDate>
  <CharactersWithSpaces>1101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2022-06-01T01:40:00Z</dcterms:created>
  <dc:creator>86138</dc:creator>
  <cp:lastModifiedBy>飞</cp:lastModifiedBy>
  <dcterms:modified xsi:type="dcterms:W3CDTF">2022-06-01T06:39:56Z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0967FBCD85384D5B919D2221884F5728</vt:lpwstr>
  </property>
</Properties>
</file>