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ind w:firstLine="480" w:firstLineChars="200"/>
        <w:rPr>
          <w:rFonts w:ascii="宋体" w:hAnsi="宋体" w:eastAsia="宋体" w:cs="宋体"/>
          <w:color w:val="000000"/>
          <w:sz w:val="24"/>
        </w:rPr>
      </w:pPr>
    </w:p>
    <w:p>
      <w:pPr>
        <w:pStyle w:val="10"/>
        <w:framePr w:w="2250" w:wrap="around" w:vAnchor="page" w:hAnchor="page" w:x="2052" w:y="2328"/>
        <w:widowControl w:val="0"/>
        <w:autoSpaceDE w:val="0"/>
        <w:autoSpaceDN w:val="0"/>
        <w:adjustRightInd w:val="0"/>
        <w:spacing w:before="0" w:after="0" w:line="300" w:lineRule="exact"/>
        <w:jc w:val="left"/>
        <w:rPr>
          <w:rFonts w:hint="default" w:ascii="宋体" w:hAnsi="宋体" w:eastAsia="宋体" w:cs="宋体"/>
          <w:color w:val="000000" w:themeColor="text1"/>
          <w:sz w:val="30"/>
          <w:lang w:val="en-US" w:eastAsia="zh-CN"/>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B62493</w:t>
      </w:r>
    </w:p>
    <w:p>
      <w:pPr>
        <w:spacing w:line="400" w:lineRule="exact"/>
        <w:ind w:firstLine="420" w:firstLineChars="200"/>
        <w:rPr>
          <w:rFonts w:ascii="宋体" w:hAnsi="宋体" w:eastAsia="宋体" w:cs="宋体"/>
          <w:color w:val="000000"/>
          <w:sz w:val="24"/>
        </w:rPr>
      </w:pPr>
      <w:r>
        <w:rPr>
          <w:rFonts w:hint="eastAsia" w:ascii="宋体" w:hAnsi="宋体" w:eastAsia="宋体" w:cs="宋体"/>
        </w:rPr>
        <w:drawing>
          <wp:anchor distT="0" distB="0" distL="114300" distR="114300" simplePos="0" relativeHeight="251660288" behindDoc="1" locked="1" layoutInCell="1" allowOverlap="1">
            <wp:simplePos x="0" y="0"/>
            <wp:positionH relativeFrom="page">
              <wp:posOffset>933450</wp:posOffset>
            </wp:positionH>
            <wp:positionV relativeFrom="page">
              <wp:posOffset>31750</wp:posOffset>
            </wp:positionV>
            <wp:extent cx="5641975" cy="9620885"/>
            <wp:effectExtent l="1905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6"/>
                    <a:stretch>
                      <a:fillRect/>
                    </a:stretch>
                  </pic:blipFill>
                  <pic:spPr>
                    <a:xfrm>
                      <a:off x="0" y="0"/>
                      <a:ext cx="5641975" cy="9620885"/>
                    </a:xfrm>
                    <a:prstGeom prst="rect">
                      <a:avLst/>
                    </a:prstGeom>
                    <a:noFill/>
                    <a:ln>
                      <a:noFill/>
                    </a:ln>
                  </pic:spPr>
                </pic:pic>
              </a:graphicData>
            </a:graphic>
          </wp:anchor>
        </w:drawing>
      </w: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pStyle w:val="10"/>
        <w:framePr w:w="4800" w:wrap="around" w:vAnchor="page" w:hAnchor="page" w:x="3453" w:y="4929"/>
        <w:widowControl w:val="0"/>
        <w:autoSpaceDE w:val="0"/>
        <w:autoSpaceDN w:val="0"/>
        <w:adjustRightInd w:val="0"/>
        <w:spacing w:before="0" w:after="0" w:line="500" w:lineRule="exact"/>
        <w:jc w:val="center"/>
        <w:rPr>
          <w:rFonts w:ascii="宋体" w:hAnsi="宋体" w:eastAsia="宋体" w:cs="宋体"/>
          <w:color w:val="000000"/>
          <w:sz w:val="48"/>
          <w:lang w:eastAsia="zh-CN"/>
        </w:rPr>
      </w:pPr>
      <w:r>
        <w:rPr>
          <w:rFonts w:hint="eastAsia" w:ascii="宋体" w:hAnsi="宋体" w:eastAsia="宋体" w:cs="宋体"/>
          <w:color w:val="000000"/>
          <w:sz w:val="48"/>
          <w:lang w:eastAsia="zh-CN"/>
        </w:rPr>
        <w:t>标 准 物 质 证 书</w:t>
      </w:r>
    </w:p>
    <w:p>
      <w:pPr>
        <w:pStyle w:val="10"/>
        <w:framePr w:w="4800" w:wrap="around" w:vAnchor="page" w:hAnchor="page" w:x="3453" w:y="4929"/>
        <w:widowControl w:val="0"/>
        <w:autoSpaceDE w:val="0"/>
        <w:autoSpaceDN w:val="0"/>
        <w:adjustRightInd w:val="0"/>
        <w:spacing w:before="0" w:after="0" w:line="500" w:lineRule="exact"/>
        <w:jc w:val="center"/>
        <w:rPr>
          <w:rFonts w:ascii="宋体" w:hAnsi="宋体" w:eastAsia="宋体" w:cs="宋体"/>
          <w:color w:val="000000" w:themeColor="text1"/>
          <w:sz w:val="30"/>
          <w:lang w:val="en-US" w:eastAsia="zh-CN"/>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水中亚硫酸根</w:t>
      </w:r>
    </w:p>
    <w:p>
      <w:pPr>
        <w:pStyle w:val="10"/>
        <w:framePr w:w="4800" w:wrap="around" w:vAnchor="page" w:hAnchor="page" w:x="3453" w:y="4929"/>
        <w:widowControl w:val="0"/>
        <w:autoSpaceDE w:val="0"/>
        <w:autoSpaceDN w:val="0"/>
        <w:adjustRightInd w:val="0"/>
        <w:spacing w:before="0" w:after="0" w:line="300" w:lineRule="exact"/>
        <w:jc w:val="center"/>
        <w:rPr>
          <w:rFonts w:ascii="宋体" w:hAnsi="宋体" w:eastAsia="宋体" w:cs="宋体"/>
          <w:color w:val="FF0000"/>
          <w:sz w:val="30"/>
          <w:lang w:val="en-US" w:eastAsia="zh-CN"/>
        </w:rPr>
      </w:pPr>
      <w:r>
        <w:rPr>
          <w:rFonts w:hint="eastAsia" w:ascii="宋体" w:hAnsi="宋体" w:eastAsia="宋体" w:cs="宋体"/>
          <w:color w:val="FF0000"/>
          <w:sz w:val="30"/>
          <w:lang w:val="en-US" w:eastAsia="zh-CN"/>
        </w:rPr>
        <w:t> </w:t>
      </w:r>
    </w:p>
    <w:p>
      <w:pPr>
        <w:pStyle w:val="10"/>
        <w:framePr w:w="4800" w:wrap="around" w:vAnchor="page" w:hAnchor="page" w:x="3453" w:y="4929"/>
        <w:widowControl w:val="0"/>
        <w:autoSpaceDE w:val="0"/>
        <w:autoSpaceDN w:val="0"/>
        <w:adjustRightInd w:val="0"/>
        <w:spacing w:before="0" w:after="0" w:line="480" w:lineRule="exact"/>
        <w:jc w:val="left"/>
        <w:rPr>
          <w:rFonts w:ascii="宋体" w:hAnsi="宋体" w:eastAsia="宋体" w:cs="宋体"/>
          <w:color w:val="000000"/>
          <w:sz w:val="48"/>
          <w:lang w:eastAsia="zh-CN"/>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themeColor="text1"/>
          <w:sz w:val="24"/>
          <w14:textFill>
            <w14:solidFill>
              <w14:schemeClr w14:val="tx1"/>
            </w14:solidFill>
          </w14:textFill>
        </w:rPr>
      </w:pPr>
    </w:p>
    <w:p>
      <w:pPr>
        <w:spacing w:line="400" w:lineRule="exact"/>
        <w:ind w:firstLine="480" w:firstLineChars="200"/>
        <w:rPr>
          <w:rFonts w:ascii="宋体" w:hAnsi="宋体" w:eastAsia="宋体" w:cs="宋体"/>
          <w:color w:val="000000" w:themeColor="text1"/>
          <w:sz w:val="24"/>
          <w14:textFill>
            <w14:solidFill>
              <w14:schemeClr w14:val="tx1"/>
            </w14:solidFill>
          </w14:textFill>
        </w:rPr>
      </w:pPr>
    </w:p>
    <w:p>
      <w:pPr>
        <w:spacing w:line="400" w:lineRule="exact"/>
        <w:ind w:firstLine="480" w:firstLineChars="200"/>
        <w:rPr>
          <w:rFonts w:ascii="宋体" w:hAnsi="宋体" w:eastAsia="宋体" w:cs="宋体"/>
          <w:color w:val="000000" w:themeColor="text1"/>
          <w:sz w:val="24"/>
          <w14:textFill>
            <w14:solidFill>
              <w14:schemeClr w14:val="tx1"/>
            </w14:solidFill>
          </w14:textFill>
        </w:rPr>
      </w:pPr>
    </w:p>
    <w:p>
      <w:pPr>
        <w:spacing w:line="400" w:lineRule="exact"/>
        <w:ind w:firstLine="480" w:firstLineChars="200"/>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drawing>
          <wp:anchor distT="0" distB="0" distL="114300" distR="114300" simplePos="0" relativeHeight="251661312" behindDoc="0" locked="0" layoutInCell="1" allowOverlap="1">
            <wp:simplePos x="0" y="0"/>
            <wp:positionH relativeFrom="column">
              <wp:posOffset>1488440</wp:posOffset>
            </wp:positionH>
            <wp:positionV relativeFrom="paragraph">
              <wp:posOffset>312420</wp:posOffset>
            </wp:positionV>
            <wp:extent cx="1864995" cy="1860550"/>
            <wp:effectExtent l="0" t="0" r="1905" b="0"/>
            <wp:wrapNone/>
            <wp:docPr id="5" name="图片 2" descr="334173196152524175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3341731961525241752000.png"/>
                    <pic:cNvPicPr>
                      <a:picLocks noChangeAspect="1"/>
                    </pic:cNvPicPr>
                  </pic:nvPicPr>
                  <pic:blipFill>
                    <a:blip r:embed="rId7"/>
                    <a:stretch>
                      <a:fillRect/>
                    </a:stretch>
                  </pic:blipFill>
                  <pic:spPr>
                    <a:xfrm>
                      <a:off x="0" y="0"/>
                      <a:ext cx="1864995" cy="1860550"/>
                    </a:xfrm>
                    <a:prstGeom prst="rect">
                      <a:avLst/>
                    </a:prstGeom>
                    <a:noFill/>
                    <a:ln>
                      <a:noFill/>
                    </a:ln>
                  </pic:spPr>
                </pic:pic>
              </a:graphicData>
            </a:graphic>
          </wp:anchor>
        </w:drawing>
      </w:r>
    </w:p>
    <w:p>
      <w:pPr>
        <w:spacing w:line="400" w:lineRule="exact"/>
        <w:ind w:firstLine="480" w:firstLineChars="200"/>
        <w:rPr>
          <w:rFonts w:ascii="宋体" w:hAnsi="宋体" w:eastAsia="宋体" w:cs="宋体"/>
          <w:color w:val="000000" w:themeColor="text1"/>
          <w:sz w:val="24"/>
          <w14:textFill>
            <w14:solidFill>
              <w14:schemeClr w14:val="tx1"/>
            </w14:solidFill>
          </w14:textFill>
        </w:rPr>
      </w:pPr>
    </w:p>
    <w:p>
      <w:pPr>
        <w:pStyle w:val="10"/>
        <w:framePr w:w="3726" w:wrap="around" w:vAnchor="page" w:hAnchor="page" w:x="3945" w:y="12523"/>
        <w:widowControl w:val="0"/>
        <w:autoSpaceDE w:val="0"/>
        <w:autoSpaceDN w:val="0"/>
        <w:adjustRightInd w:val="0"/>
        <w:spacing w:before="0" w:after="0" w:line="400" w:lineRule="exact"/>
        <w:jc w:val="left"/>
        <w:rPr>
          <w:rFonts w:ascii="宋体" w:hAnsi="宋体" w:eastAsia="宋体" w:cs="宋体"/>
          <w:color w:val="000000" w:themeColor="text1"/>
          <w:sz w:val="27"/>
          <w:lang w:eastAsia="zh-CN"/>
          <w14:textFill>
            <w14:solidFill>
              <w14:schemeClr w14:val="tx1"/>
            </w14:solidFill>
          </w14:textFill>
        </w:rPr>
      </w:pPr>
      <w:r>
        <w:rPr>
          <w:rFonts w:hint="eastAsia" w:ascii="宋体" w:hAnsi="宋体" w:eastAsia="宋体" w:cs="宋体"/>
          <w:color w:val="000000" w:themeColor="text1"/>
          <w:sz w:val="27"/>
          <w:lang w:eastAsia="zh-CN"/>
          <w14:textFill>
            <w14:solidFill>
              <w14:schemeClr w14:val="tx1"/>
            </w14:solidFill>
          </w14:textFill>
        </w:rPr>
        <w:t>上海源叶生物科技有限公司</w:t>
      </w:r>
    </w:p>
    <w:p>
      <w:pPr>
        <w:pStyle w:val="10"/>
        <w:framePr w:w="3726" w:wrap="around" w:vAnchor="page" w:hAnchor="page" w:x="3945" w:y="12523"/>
        <w:widowControl w:val="0"/>
        <w:autoSpaceDE w:val="0"/>
        <w:autoSpaceDN w:val="0"/>
        <w:adjustRightInd w:val="0"/>
        <w:spacing w:before="0" w:after="0" w:line="400" w:lineRule="exact"/>
        <w:ind w:firstLine="810" w:firstLineChars="300"/>
        <w:jc w:val="left"/>
        <w:rPr>
          <w:rFonts w:ascii="宋体" w:hAnsi="宋体" w:eastAsia="宋体" w:cs="宋体"/>
          <w:color w:val="000000" w:themeColor="text1"/>
          <w:sz w:val="27"/>
          <w:lang w:val="en-US" w:eastAsia="zh-CN"/>
          <w14:textFill>
            <w14:solidFill>
              <w14:schemeClr w14:val="tx1"/>
            </w14:solidFill>
          </w14:textFill>
        </w:rPr>
      </w:pPr>
      <w:r>
        <w:rPr>
          <w:rFonts w:hint="eastAsia" w:ascii="宋体" w:hAnsi="宋体" w:eastAsia="宋体" w:cs="宋体"/>
          <w:color w:val="000000" w:themeColor="text1"/>
          <w:sz w:val="27"/>
          <w:lang w:val="en-US" w:eastAsia="zh-CN"/>
          <w14:textFill>
            <w14:solidFill>
              <w14:schemeClr w14:val="tx1"/>
            </w14:solidFill>
          </w14:textFill>
        </w:rPr>
        <w:t>中国    上海</w:t>
      </w:r>
    </w:p>
    <w:p>
      <w:pPr>
        <w:spacing w:line="400" w:lineRule="exact"/>
        <w:ind w:firstLine="480" w:firstLineChars="200"/>
        <w:rPr>
          <w:rFonts w:ascii="宋体" w:hAnsi="宋体" w:eastAsia="宋体" w:cs="宋体"/>
          <w:color w:val="000000" w:themeColor="text1"/>
          <w:sz w:val="24"/>
          <w14:textFill>
            <w14:solidFill>
              <w14:schemeClr w14:val="tx1"/>
            </w14:solidFill>
          </w14:textFill>
        </w:rPr>
      </w:pPr>
    </w:p>
    <w:p>
      <w:pPr>
        <w:spacing w:line="400" w:lineRule="exact"/>
        <w:ind w:firstLine="480" w:firstLineChars="200"/>
        <w:rPr>
          <w:rFonts w:ascii="宋体" w:hAnsi="宋体" w:eastAsia="宋体" w:cs="宋体"/>
          <w:color w:val="000000" w:themeColor="text1"/>
          <w:sz w:val="24"/>
          <w14:textFill>
            <w14:solidFill>
              <w14:schemeClr w14:val="tx1"/>
            </w14:solidFill>
          </w14:textFill>
        </w:rPr>
      </w:pPr>
    </w:p>
    <w:p>
      <w:pPr>
        <w:pStyle w:val="10"/>
        <w:framePr w:w="4686" w:wrap="around" w:vAnchor="page" w:hAnchor="page" w:x="3617" w:y="9456"/>
        <w:widowControl w:val="0"/>
        <w:autoSpaceDE w:val="0"/>
        <w:autoSpaceDN w:val="0"/>
        <w:adjustRightInd w:val="0"/>
        <w:spacing w:before="0" w:after="0" w:line="400" w:lineRule="exact"/>
        <w:jc w:val="left"/>
        <w:rPr>
          <w:rFonts w:ascii="宋体" w:hAnsi="宋体" w:eastAsia="宋体" w:cs="宋体"/>
          <w:color w:val="000000" w:themeColor="text1"/>
          <w:sz w:val="27"/>
          <w:lang w:val="en-US" w:eastAsia="zh-CN"/>
          <w14:textFill>
            <w14:solidFill>
              <w14:schemeClr w14:val="tx1"/>
            </w14:solidFill>
          </w14:textFill>
        </w:rPr>
      </w:pPr>
      <w:r>
        <w:rPr>
          <w:rFonts w:hint="eastAsia" w:ascii="宋体" w:hAnsi="宋体" w:eastAsia="宋体" w:cs="宋体"/>
          <w:color w:val="000000" w:themeColor="text1"/>
          <w:sz w:val="27"/>
          <w:lang w:eastAsia="zh-CN"/>
          <w14:textFill>
            <w14:solidFill>
              <w14:schemeClr w14:val="tx1"/>
            </w14:solidFill>
          </w14:textFill>
        </w:rPr>
        <w:t xml:space="preserve">批  号:    </w:t>
      </w:r>
      <w:r>
        <w:rPr>
          <w:rFonts w:hint="eastAsia" w:ascii="宋体" w:hAnsi="宋体" w:eastAsia="宋体" w:cs="宋体"/>
          <w:color w:val="000000" w:themeColor="text1"/>
          <w:sz w:val="27"/>
          <w:lang w:val="en-US" w:eastAsia="zh-CN"/>
          <w14:textFill>
            <w14:solidFill>
              <w14:schemeClr w14:val="tx1"/>
            </w14:solidFill>
          </w14:textFill>
        </w:rPr>
        <w:t>J22HB174878</w:t>
      </w:r>
    </w:p>
    <w:p>
      <w:pPr>
        <w:pStyle w:val="10"/>
        <w:framePr w:w="4686" w:wrap="around" w:vAnchor="page" w:hAnchor="page" w:x="3617" w:y="9456"/>
        <w:widowControl w:val="0"/>
        <w:autoSpaceDE w:val="0"/>
        <w:autoSpaceDN w:val="0"/>
        <w:adjustRightInd w:val="0"/>
        <w:spacing w:before="0" w:after="0" w:line="400" w:lineRule="exact"/>
        <w:jc w:val="left"/>
        <w:rPr>
          <w:rFonts w:ascii="宋体" w:hAnsi="宋体" w:eastAsia="宋体" w:cs="宋体"/>
          <w:color w:val="000000" w:themeColor="text1"/>
          <w:sz w:val="27"/>
          <w:lang w:eastAsia="zh-CN"/>
          <w14:textFill>
            <w14:solidFill>
              <w14:schemeClr w14:val="tx1"/>
            </w14:solidFill>
          </w14:textFill>
        </w:rPr>
      </w:pPr>
      <w:r>
        <w:rPr>
          <w:rFonts w:hint="eastAsia" w:ascii="宋体" w:hAnsi="宋体" w:eastAsia="宋体" w:cs="宋体"/>
          <w:color w:val="000000" w:themeColor="text1"/>
          <w:sz w:val="27"/>
          <w:lang w:eastAsia="zh-CN"/>
          <w14:textFill>
            <w14:solidFill>
              <w14:schemeClr w14:val="tx1"/>
            </w14:solidFill>
          </w14:textFill>
        </w:rPr>
        <w:t>定值日期:  202</w:t>
      </w:r>
      <w:r>
        <w:rPr>
          <w:rFonts w:hint="eastAsia" w:ascii="宋体" w:hAnsi="宋体" w:eastAsia="宋体" w:cs="宋体"/>
          <w:color w:val="000000" w:themeColor="text1"/>
          <w:sz w:val="27"/>
          <w:lang w:val="en-US" w:eastAsia="zh-CN"/>
          <w14:textFill>
            <w14:solidFill>
              <w14:schemeClr w14:val="tx1"/>
            </w14:solidFill>
          </w14:textFill>
        </w:rPr>
        <w:t>1</w:t>
      </w:r>
      <w:r>
        <w:rPr>
          <w:rFonts w:hint="eastAsia" w:ascii="宋体" w:hAnsi="宋体" w:eastAsia="宋体" w:cs="宋体"/>
          <w:color w:val="000000" w:themeColor="text1"/>
          <w:sz w:val="27"/>
          <w:lang w:eastAsia="zh-CN"/>
          <w14:textFill>
            <w14:solidFill>
              <w14:schemeClr w14:val="tx1"/>
            </w14:solidFill>
          </w14:textFill>
        </w:rPr>
        <w:t xml:space="preserve"> 年 </w:t>
      </w:r>
      <w:r>
        <w:rPr>
          <w:rFonts w:hint="eastAsia" w:ascii="宋体" w:hAnsi="宋体" w:eastAsia="宋体" w:cs="宋体"/>
          <w:color w:val="000000" w:themeColor="text1"/>
          <w:sz w:val="27"/>
          <w:lang w:val="en-US" w:eastAsia="zh-CN"/>
          <w14:textFill>
            <w14:solidFill>
              <w14:schemeClr w14:val="tx1"/>
            </w14:solidFill>
          </w14:textFill>
        </w:rPr>
        <w:t>11</w:t>
      </w:r>
      <w:r>
        <w:rPr>
          <w:rFonts w:hint="eastAsia" w:ascii="宋体" w:hAnsi="宋体" w:eastAsia="宋体" w:cs="宋体"/>
          <w:color w:val="000000" w:themeColor="text1"/>
          <w:sz w:val="27"/>
          <w:lang w:eastAsia="zh-CN"/>
          <w14:textFill>
            <w14:solidFill>
              <w14:schemeClr w14:val="tx1"/>
            </w14:solidFill>
          </w14:textFill>
        </w:rPr>
        <w:t xml:space="preserve"> 月 </w:t>
      </w:r>
      <w:r>
        <w:rPr>
          <w:rFonts w:hint="eastAsia" w:ascii="宋体" w:hAnsi="宋体" w:eastAsia="宋体" w:cs="宋体"/>
          <w:color w:val="000000" w:themeColor="text1"/>
          <w:sz w:val="27"/>
          <w:lang w:val="en-US" w:eastAsia="zh-CN"/>
          <w14:textFill>
            <w14:solidFill>
              <w14:schemeClr w14:val="tx1"/>
            </w14:solidFill>
          </w14:textFill>
        </w:rPr>
        <w:t>25</w:t>
      </w:r>
      <w:r>
        <w:rPr>
          <w:rFonts w:hint="eastAsia" w:ascii="宋体" w:hAnsi="宋体" w:eastAsia="宋体" w:cs="宋体"/>
          <w:color w:val="000000" w:themeColor="text1"/>
          <w:sz w:val="27"/>
          <w:lang w:eastAsia="zh-CN"/>
          <w14:textFill>
            <w14:solidFill>
              <w14:schemeClr w14:val="tx1"/>
            </w14:solidFill>
          </w14:textFill>
        </w:rPr>
        <w:t xml:space="preserve"> 日</w:t>
      </w:r>
    </w:p>
    <w:p>
      <w:pPr>
        <w:pStyle w:val="10"/>
        <w:framePr w:w="4686" w:wrap="around" w:vAnchor="page" w:hAnchor="page" w:x="3617" w:y="9456"/>
        <w:widowControl w:val="0"/>
        <w:autoSpaceDE w:val="0"/>
        <w:autoSpaceDN w:val="0"/>
        <w:adjustRightInd w:val="0"/>
        <w:spacing w:before="0" w:after="0" w:line="400" w:lineRule="exact"/>
        <w:jc w:val="left"/>
        <w:rPr>
          <w:rFonts w:ascii="宋体" w:hAnsi="宋体" w:eastAsia="宋体" w:cs="宋体"/>
          <w:color w:val="000000" w:themeColor="text1"/>
          <w:sz w:val="27"/>
          <w:lang w:eastAsia="zh-CN"/>
          <w14:textFill>
            <w14:solidFill>
              <w14:schemeClr w14:val="tx1"/>
            </w14:solidFill>
          </w14:textFill>
        </w:rPr>
      </w:pPr>
      <w:r>
        <w:rPr>
          <w:rFonts w:hint="eastAsia" w:ascii="宋体" w:hAnsi="宋体" w:eastAsia="宋体" w:cs="宋体"/>
          <w:color w:val="000000" w:themeColor="text1"/>
          <w:sz w:val="27"/>
          <w:lang w:eastAsia="zh-CN"/>
          <w14:textFill>
            <w14:solidFill>
              <w14:schemeClr w14:val="tx1"/>
            </w14:solidFill>
          </w14:textFill>
        </w:rPr>
        <w:t>有效期至:  202</w:t>
      </w:r>
      <w:r>
        <w:rPr>
          <w:rFonts w:hint="eastAsia" w:ascii="宋体" w:hAnsi="宋体" w:eastAsia="宋体" w:cs="宋体"/>
          <w:color w:val="000000" w:themeColor="text1"/>
          <w:sz w:val="27"/>
          <w:lang w:val="en-US" w:eastAsia="zh-CN"/>
          <w14:textFill>
            <w14:solidFill>
              <w14:schemeClr w14:val="tx1"/>
            </w14:solidFill>
          </w14:textFill>
        </w:rPr>
        <w:t>3</w:t>
      </w:r>
      <w:r>
        <w:rPr>
          <w:rFonts w:hint="eastAsia" w:ascii="宋体" w:hAnsi="宋体" w:eastAsia="宋体" w:cs="宋体"/>
          <w:color w:val="000000" w:themeColor="text1"/>
          <w:sz w:val="27"/>
          <w:lang w:eastAsia="zh-CN"/>
          <w14:textFill>
            <w14:solidFill>
              <w14:schemeClr w14:val="tx1"/>
            </w14:solidFill>
          </w14:textFill>
        </w:rPr>
        <w:t xml:space="preserve"> 年 </w:t>
      </w:r>
      <w:r>
        <w:rPr>
          <w:rFonts w:hint="eastAsia" w:ascii="宋体" w:hAnsi="宋体" w:eastAsia="宋体" w:cs="宋体"/>
          <w:color w:val="000000" w:themeColor="text1"/>
          <w:sz w:val="27"/>
          <w:lang w:val="en-US" w:eastAsia="zh-CN"/>
          <w14:textFill>
            <w14:solidFill>
              <w14:schemeClr w14:val="tx1"/>
            </w14:solidFill>
          </w14:textFill>
        </w:rPr>
        <w:t>05</w:t>
      </w:r>
      <w:r>
        <w:rPr>
          <w:rFonts w:hint="eastAsia" w:ascii="宋体" w:hAnsi="宋体" w:eastAsia="宋体" w:cs="宋体"/>
          <w:color w:val="000000" w:themeColor="text1"/>
          <w:sz w:val="27"/>
          <w:lang w:eastAsia="zh-CN"/>
          <w14:textFill>
            <w14:solidFill>
              <w14:schemeClr w14:val="tx1"/>
            </w14:solidFill>
          </w14:textFill>
        </w:rPr>
        <w:t xml:space="preserve"> 月</w:t>
      </w:r>
      <w:r>
        <w:rPr>
          <w:rFonts w:hint="eastAsia" w:ascii="宋体" w:hAnsi="宋体" w:eastAsia="宋体" w:cs="宋体"/>
          <w:color w:val="000000" w:themeColor="text1"/>
          <w:sz w:val="27"/>
          <w:lang w:val="en-US" w:eastAsia="zh-CN"/>
          <w14:textFill>
            <w14:solidFill>
              <w14:schemeClr w14:val="tx1"/>
            </w14:solidFill>
          </w14:textFill>
        </w:rPr>
        <w:t xml:space="preserve"> 24 </w:t>
      </w:r>
      <w:r>
        <w:rPr>
          <w:rFonts w:hint="eastAsia" w:ascii="宋体" w:hAnsi="宋体" w:eastAsia="宋体" w:cs="宋体"/>
          <w:color w:val="000000" w:themeColor="text1"/>
          <w:sz w:val="27"/>
          <w:lang w:eastAsia="zh-CN"/>
          <w14:textFill>
            <w14:solidFill>
              <w14:schemeClr w14:val="tx1"/>
            </w14:solidFill>
          </w14:textFill>
        </w:rPr>
        <w:t>日</w:t>
      </w: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ascii="宋体" w:hAnsi="宋体" w:eastAsia="宋体" w:cs="宋体"/>
          <w:color w:val="000000"/>
          <w:sz w:val="24"/>
        </w:rPr>
      </w:pPr>
    </w:p>
    <w:p>
      <w:pPr>
        <w:spacing w:line="400" w:lineRule="exact"/>
        <w:ind w:firstLine="480" w:firstLineChars="200"/>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本标准物质主要用于测量仪器校准,分析方法</w:t>
      </w:r>
      <w:r>
        <w:rPr>
          <w:rFonts w:hint="eastAsia" w:ascii="宋体" w:hAnsi="宋体" w:eastAsia="宋体" w:cs="宋体"/>
          <w:color w:val="000000" w:themeColor="text1"/>
          <w:sz w:val="24"/>
          <w:lang w:val="en-US" w:eastAsia="zh-CN"/>
          <w14:textFill>
            <w14:solidFill>
              <w14:schemeClr w14:val="tx1"/>
            </w14:solidFill>
          </w14:textFill>
        </w:rPr>
        <w:t>确认与</w:t>
      </w:r>
      <w:r>
        <w:rPr>
          <w:rFonts w:hint="eastAsia" w:ascii="宋体" w:hAnsi="宋体" w:eastAsia="宋体" w:cs="宋体"/>
          <w:color w:val="000000" w:themeColor="text1"/>
          <w:sz w:val="24"/>
          <w14:textFill>
            <w14:solidFill>
              <w14:schemeClr w14:val="tx1"/>
            </w14:solidFill>
          </w14:textFill>
        </w:rPr>
        <w:t>评价</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测量过程质量控制及技术仲裁与认证评价，</w:t>
      </w:r>
      <w:r>
        <w:rPr>
          <w:rFonts w:hint="eastAsia" w:ascii="宋体" w:hAnsi="宋体" w:eastAsia="宋体" w:cs="宋体"/>
          <w:color w:val="000000" w:themeColor="text1"/>
          <w:sz w:val="24"/>
          <w14:textFill>
            <w14:solidFill>
              <w14:schemeClr w14:val="tx1"/>
            </w14:solidFill>
          </w14:textFill>
        </w:rPr>
        <w:t>也可作为标液储备溶液，通过逐级稀释配置成各种工作用标准溶液。</w:t>
      </w:r>
      <w:r>
        <w:rPr>
          <w:rFonts w:hint="eastAsia" w:ascii="宋体" w:hAnsi="宋体" w:eastAsia="宋体" w:cs="宋体"/>
          <w:color w:val="000000" w:themeColor="text1"/>
          <w:sz w:val="24"/>
          <w:lang w:val="en-US" w:eastAsia="zh-CN"/>
          <w14:textFill>
            <w14:solidFill>
              <w14:schemeClr w14:val="tx1"/>
            </w14:solidFill>
          </w14:textFill>
        </w:rPr>
        <w:t>本标准物质适用于离子色谱法(IC),分光光度法等方法分析测试使用。</w:t>
      </w:r>
    </w:p>
    <w:p>
      <w:pPr>
        <w:spacing w:line="400" w:lineRule="exact"/>
        <w:rPr>
          <w:rFonts w:ascii="宋体" w:hAnsi="宋体" w:eastAsia="宋体" w:cs="宋体"/>
          <w:color w:val="000000"/>
          <w:sz w:val="24"/>
        </w:rPr>
      </w:pPr>
      <w:r>
        <w:rPr>
          <w:rFonts w:hint="eastAsia" w:ascii="宋体" w:hAnsi="宋体" w:eastAsia="宋体" w:cs="宋体"/>
          <w:color w:val="000000"/>
          <w:sz w:val="28"/>
          <w:szCs w:val="28"/>
        </w:rPr>
        <w:t>一、样品制备</w:t>
      </w:r>
    </w:p>
    <w:p>
      <w:pPr>
        <w:pStyle w:val="9"/>
        <w:widowControl w:val="0"/>
        <w:autoSpaceDE w:val="0"/>
        <w:autoSpaceDN w:val="0"/>
        <w:adjustRightInd w:val="0"/>
        <w:spacing w:before="0" w:after="0" w:line="400" w:lineRule="exact"/>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本标准物质</w:t>
      </w:r>
      <w:r>
        <w:rPr>
          <w:rFonts w:hint="eastAsia" w:ascii="宋体" w:hAnsi="宋体" w:eastAsia="宋体" w:cs="宋体"/>
          <w:color w:val="000000" w:themeColor="text1"/>
          <w:sz w:val="24"/>
          <w:szCs w:val="24"/>
          <w:lang w:val="en-US" w:eastAsia="zh-CN"/>
          <w14:textFill>
            <w14:solidFill>
              <w14:schemeClr w14:val="tx1"/>
            </w14:solidFill>
          </w14:textFill>
        </w:rPr>
        <w:t>以纯度准确定值的高纯亚硫酸钠，高纯乙二胺四乙酸二钠，甲醛和符合国家一级水标准的纯水为原料，在(20±3)℃的恒温条件下采用重量法准确配制而成。</w:t>
      </w:r>
    </w:p>
    <w:p>
      <w:pPr>
        <w:pStyle w:val="9"/>
        <w:widowControl w:val="0"/>
        <w:autoSpaceDE w:val="0"/>
        <w:autoSpaceDN w:val="0"/>
        <w:adjustRightInd w:val="0"/>
        <w:spacing w:before="0" w:after="0" w:line="400" w:lineRule="exact"/>
        <w:jc w:val="left"/>
        <w:rPr>
          <w:rFonts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二</w:t>
      </w:r>
      <w:r>
        <w:rPr>
          <w:rFonts w:hint="eastAsia" w:ascii="宋体" w:hAnsi="宋体" w:eastAsia="宋体" w:cs="宋体"/>
          <w:color w:val="000000"/>
          <w:sz w:val="28"/>
          <w:szCs w:val="28"/>
          <w:lang w:eastAsia="zh-CN"/>
        </w:rPr>
        <w:t>、溯源性及定值方法</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本标准物质以配置值作为标准值，采用离子色谱法进行量值核对。</w:t>
      </w:r>
      <w:r>
        <w:rPr>
          <w:rFonts w:hint="eastAsia" w:ascii="宋体" w:hAnsi="宋体" w:eastAsia="宋体" w:cs="宋体"/>
          <w:color w:val="000000" w:themeColor="text1"/>
          <w:sz w:val="24"/>
          <w:szCs w:val="24"/>
          <w:lang w:eastAsia="zh-CN"/>
          <w14:textFill>
            <w14:solidFill>
              <w14:schemeClr w14:val="tx1"/>
            </w14:solidFill>
          </w14:textFill>
        </w:rPr>
        <w:t>通过使用满足计量学特性要求的制备方法,测量方法和计量器具,保证标准物质的量值溯源性。</w:t>
      </w:r>
    </w:p>
    <w:p>
      <w:pPr>
        <w:spacing w:line="400" w:lineRule="exact"/>
        <w:rPr>
          <w:rFonts w:ascii="宋体" w:hAnsi="宋体" w:eastAsia="宋体" w:cs="宋体"/>
          <w:color w:val="000000"/>
          <w:sz w:val="28"/>
          <w:szCs w:val="28"/>
          <w:lang w:val="ru-RU"/>
        </w:rPr>
      </w:pPr>
      <w:r>
        <w:rPr>
          <w:rFonts w:hint="eastAsia" w:ascii="宋体" w:hAnsi="宋体" w:eastAsia="宋体" w:cs="宋体"/>
          <w:color w:val="000000"/>
          <w:sz w:val="28"/>
          <w:szCs w:val="28"/>
        </w:rPr>
        <w:t>三、特性量值及不确定度</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177"/>
        <w:gridCol w:w="1155"/>
        <w:gridCol w:w="1298"/>
        <w:gridCol w:w="3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tcPr>
          <w:p>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编号</w:t>
            </w:r>
          </w:p>
        </w:tc>
        <w:tc>
          <w:tcPr>
            <w:tcW w:w="725" w:type="pct"/>
          </w:tcPr>
          <w:p>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名称</w:t>
            </w:r>
          </w:p>
        </w:tc>
        <w:tc>
          <w:tcPr>
            <w:tcW w:w="712" w:type="pct"/>
          </w:tcPr>
          <w:p>
            <w:pPr>
              <w:spacing w:line="400" w:lineRule="exact"/>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标准值（</w:t>
            </w:r>
            <w:r>
              <w:rPr>
                <w:rFonts w:hint="eastAsia" w:ascii="宋体" w:hAnsi="宋体" w:eastAsia="宋体" w:cs="宋体"/>
                <w:color w:val="000000" w:themeColor="text1"/>
                <w:sz w:val="24"/>
                <w:lang w:val="en-US" w:eastAsia="zh-CN"/>
                <w14:textFill>
                  <w14:solidFill>
                    <w14:schemeClr w14:val="tx1"/>
                  </w14:solidFill>
                </w14:textFill>
              </w:rPr>
              <w:t>SO</w:t>
            </w:r>
            <w:r>
              <w:rPr>
                <w:rFonts w:hint="eastAsia" w:ascii="宋体" w:hAnsi="宋体" w:eastAsia="宋体" w:cs="宋体"/>
                <w:color w:val="000000" w:themeColor="text1"/>
                <w:sz w:val="24"/>
                <w:vertAlign w:val="subscript"/>
                <w:lang w:val="en-US" w:eastAsia="zh-CN"/>
                <w14:textFill>
                  <w14:solidFill>
                    <w14:schemeClr w14:val="tx1"/>
                  </w14:solidFill>
                </w14:textFill>
              </w:rPr>
              <w:t>3</w:t>
            </w:r>
            <w:r>
              <w:rPr>
                <w:rFonts w:hint="eastAsia" w:ascii="宋体" w:hAnsi="宋体" w:eastAsia="宋体" w:cs="宋体"/>
                <w:color w:val="000000" w:themeColor="text1"/>
                <w:sz w:val="24"/>
                <w:vertAlign w:val="superscript"/>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mg/L)</w:t>
            </w:r>
          </w:p>
        </w:tc>
        <w:tc>
          <w:tcPr>
            <w:tcW w:w="796" w:type="pct"/>
          </w:tcPr>
          <w:p>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相对扩展不确定度（%）(k=2)</w:t>
            </w:r>
          </w:p>
        </w:tc>
        <w:tc>
          <w:tcPr>
            <w:tcW w:w="2353" w:type="pct"/>
          </w:tcPr>
          <w:p>
            <w:pPr>
              <w:spacing w:line="400" w:lineRule="exact"/>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基体（V/V)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411" w:type="pct"/>
          </w:tcPr>
          <w:p>
            <w:pPr>
              <w:spacing w:line="400" w:lineRule="exact"/>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B</w:t>
            </w:r>
            <w:r>
              <w:rPr>
                <w:rFonts w:hint="eastAsia" w:ascii="宋体" w:hAnsi="宋体" w:eastAsia="宋体" w:cs="宋体"/>
                <w:color w:val="000000" w:themeColor="text1"/>
                <w:sz w:val="24"/>
                <w:lang w:val="en-US" w:eastAsia="zh-CN"/>
                <w14:textFill>
                  <w14:solidFill>
                    <w14:schemeClr w14:val="tx1"/>
                  </w14:solidFill>
                </w14:textFill>
              </w:rPr>
              <w:t>62493</w:t>
            </w:r>
          </w:p>
        </w:tc>
        <w:tc>
          <w:tcPr>
            <w:tcW w:w="725" w:type="pct"/>
          </w:tcPr>
          <w:p>
            <w:pPr>
              <w:spacing w:line="400" w:lineRule="exact"/>
              <w:jc w:val="both"/>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水中亚硫酸根</w:t>
            </w:r>
          </w:p>
        </w:tc>
        <w:tc>
          <w:tcPr>
            <w:tcW w:w="712" w:type="pct"/>
          </w:tcPr>
          <w:p>
            <w:pPr>
              <w:spacing w:line="400" w:lineRule="exact"/>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100</w:t>
            </w:r>
            <w:r>
              <w:rPr>
                <w:rFonts w:hint="eastAsia" w:ascii="宋体" w:hAnsi="宋体" w:eastAsia="宋体" w:cs="宋体"/>
                <w:color w:val="000000" w:themeColor="text1"/>
                <w:sz w:val="24"/>
                <w:lang w:val="en-US" w:eastAsia="zh-CN"/>
                <w14:textFill>
                  <w14:solidFill>
                    <w14:schemeClr w14:val="tx1"/>
                  </w14:solidFill>
                </w14:textFill>
              </w:rPr>
              <w:t>0</w:t>
            </w:r>
          </w:p>
        </w:tc>
        <w:tc>
          <w:tcPr>
            <w:tcW w:w="796" w:type="pct"/>
          </w:tcPr>
          <w:p>
            <w:pPr>
              <w:spacing w:line="400" w:lineRule="exact"/>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w:t>
            </w:r>
          </w:p>
        </w:tc>
        <w:tc>
          <w:tcPr>
            <w:tcW w:w="2353" w:type="pct"/>
          </w:tcPr>
          <w:p>
            <w:pPr>
              <w:spacing w:line="400" w:lineRule="exact"/>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0.1%甲醛+tr.EDTA</w:t>
            </w:r>
          </w:p>
        </w:tc>
      </w:tr>
    </w:tbl>
    <w:p>
      <w:pPr>
        <w:spacing w:line="400" w:lineRule="exact"/>
        <w:rPr>
          <w:rFonts w:ascii="宋体" w:hAnsi="宋体" w:eastAsia="宋体" w:cs="宋体"/>
          <w:color w:val="FF0000"/>
          <w:sz w:val="24"/>
        </w:rPr>
      </w:pPr>
      <w:r>
        <w:rPr>
          <w:rFonts w:hint="eastAsia" w:ascii="宋体" w:hAnsi="宋体" w:eastAsia="宋体" w:cs="宋体"/>
          <w:color w:val="000000" w:themeColor="text1"/>
          <w:szCs w:val="21"/>
          <w14:textFill>
            <w14:solidFill>
              <w14:schemeClr w14:val="tx1"/>
            </w14:solidFill>
          </w14:textFill>
        </w:rPr>
        <w:t>标准值的不确定度主要由原料纯度，称量，定容以及均匀性，稳定性等不确定度分量合成。</w:t>
      </w:r>
    </w:p>
    <w:p>
      <w:pPr>
        <w:spacing w:line="400" w:lineRule="exact"/>
        <w:rPr>
          <w:rFonts w:ascii="宋体" w:hAnsi="宋体" w:eastAsia="宋体" w:cs="宋体"/>
          <w:color w:val="000000"/>
          <w:sz w:val="24"/>
        </w:rPr>
      </w:pPr>
      <w:r>
        <w:rPr>
          <w:rFonts w:hint="eastAsia" w:ascii="宋体" w:hAnsi="宋体" w:eastAsia="宋体" w:cs="宋体"/>
          <w:color w:val="000000"/>
          <w:sz w:val="28"/>
          <w:szCs w:val="28"/>
        </w:rPr>
        <w:t>四、均匀性检验及稳定性考察</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依据JJF1343-2012[标准物质定值的通用原则及统计学原理]，对分装后的样品进行随机抽样，对溶液浓度进行均匀性检验，稳定性考察。结果表明，本标准物质均匀性、稳定性良好。</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本标准物质自定值日期起，有效期18个月，</w:t>
      </w:r>
      <w:r>
        <w:rPr>
          <w:rFonts w:hint="eastAsia" w:ascii="宋体" w:hAnsi="宋体" w:eastAsia="宋体" w:cs="宋体"/>
          <w:color w:val="000000"/>
          <w:sz w:val="24"/>
          <w:szCs w:val="24"/>
          <w:lang w:val="en-US" w:eastAsia="zh-CN"/>
        </w:rPr>
        <w:t>研制单位将继续监测该标准物质的稳定性，有效期内如发现量值变化，将及时通知用户。</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val="en-US" w:eastAsia="zh-CN"/>
        </w:rPr>
      </w:pPr>
    </w:p>
    <w:p>
      <w:pPr>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五、包装、运输和贮存、使用及注意事项</w:t>
      </w:r>
    </w:p>
    <w:p>
      <w:pPr>
        <w:spacing w:line="400" w:lineRule="exact"/>
        <w:ind w:firstLine="480" w:firstLineChars="200"/>
        <w:rPr>
          <w:rFonts w:ascii="宋体" w:hAnsi="宋体" w:eastAsia="宋体" w:cs="宋体"/>
          <w:color w:val="000000"/>
          <w:sz w:val="24"/>
        </w:rPr>
      </w:pPr>
      <w:r>
        <w:rPr>
          <w:rFonts w:hint="eastAsia" w:ascii="宋体" w:hAnsi="宋体" w:eastAsia="宋体" w:cs="宋体"/>
          <w:color w:val="000000"/>
          <w:sz w:val="24"/>
        </w:rPr>
        <w:t>1.包装: 本标准物质采用</w:t>
      </w:r>
      <w:r>
        <w:rPr>
          <w:rFonts w:hint="eastAsia" w:ascii="宋体" w:hAnsi="宋体" w:eastAsia="宋体" w:cs="宋体"/>
          <w:color w:val="000000" w:themeColor="text1"/>
          <w:sz w:val="24"/>
          <w14:textFill>
            <w14:solidFill>
              <w14:schemeClr w14:val="tx1"/>
            </w14:solidFill>
          </w14:textFill>
        </w:rPr>
        <w:t>安瓿瓶包装，约</w:t>
      </w:r>
      <w:r>
        <w:rPr>
          <w:rFonts w:hint="eastAsia" w:ascii="宋体" w:hAnsi="宋体" w:eastAsia="宋体" w:cs="宋体"/>
          <w:color w:val="000000" w:themeColor="text1"/>
          <w:sz w:val="24"/>
          <w:lang w:val="en-US" w:eastAsia="zh-CN"/>
          <w14:textFill>
            <w14:solidFill>
              <w14:schemeClr w14:val="tx1"/>
            </w14:solidFill>
          </w14:textFill>
        </w:rPr>
        <w:t>20</w:t>
      </w:r>
      <w:r>
        <w:rPr>
          <w:rFonts w:hint="eastAsia" w:ascii="宋体" w:hAnsi="宋体" w:eastAsia="宋体" w:cs="宋体"/>
          <w:color w:val="000000" w:themeColor="text1"/>
          <w:sz w:val="24"/>
          <w14:textFill>
            <w14:solidFill>
              <w14:schemeClr w14:val="tx1"/>
            </w14:solidFill>
          </w14:textFill>
        </w:rPr>
        <w:t xml:space="preserve"> mL/</w:t>
      </w:r>
      <w:r>
        <w:rPr>
          <w:rFonts w:hint="eastAsia" w:ascii="宋体" w:hAnsi="宋体" w:eastAsia="宋体" w:cs="宋体"/>
          <w:color w:val="000000" w:themeColor="text1"/>
          <w:sz w:val="24"/>
          <w:lang w:val="en-US" w:eastAsia="zh-CN"/>
          <w14:textFill>
            <w14:solidFill>
              <w14:schemeClr w14:val="tx1"/>
            </w14:solidFill>
          </w14:textFill>
        </w:rPr>
        <w:t>瓶</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sz w:val="24"/>
        </w:rPr>
        <w:t>移取或稀释时请以移液管量取为准。</w:t>
      </w:r>
    </w:p>
    <w:p>
      <w:pPr>
        <w:pStyle w:val="9"/>
        <w:widowControl w:val="0"/>
        <w:autoSpaceDE w:val="0"/>
        <w:autoSpaceDN w:val="0"/>
        <w:adjustRightInd w:val="0"/>
        <w:spacing w:before="0" w:after="0" w:line="400" w:lineRule="exact"/>
        <w:ind w:firstLine="480" w:firstLineChars="200"/>
        <w:jc w:val="lef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2.</w:t>
      </w:r>
      <w:r>
        <w:rPr>
          <w:rFonts w:hint="eastAsia" w:ascii="宋体" w:hAnsi="宋体" w:eastAsia="宋体" w:cs="宋体"/>
          <w:color w:val="000000" w:themeColor="text1"/>
          <w:sz w:val="24"/>
          <w:szCs w:val="24"/>
          <w:lang w:eastAsia="zh-CN"/>
          <w14:textFill>
            <w14:solidFill>
              <w14:schemeClr w14:val="tx1"/>
            </w14:solidFill>
          </w14:textFill>
        </w:rPr>
        <w:t xml:space="preserve">运输和贮存: </w:t>
      </w:r>
      <w:r>
        <w:rPr>
          <w:rFonts w:hint="eastAsia" w:ascii="宋体" w:hAnsi="宋体" w:eastAsia="宋体" w:cs="宋体"/>
          <w:color w:val="000000" w:themeColor="text1"/>
          <w:sz w:val="24"/>
          <w:szCs w:val="24"/>
          <w:lang w:val="en-US" w:eastAsia="zh-CN"/>
          <w14:textFill>
            <w14:solidFill>
              <w14:schemeClr w14:val="tx1"/>
            </w14:solidFill>
          </w14:textFill>
        </w:rPr>
        <w:t>常温运输</w:t>
      </w:r>
      <w:r>
        <w:rPr>
          <w:rFonts w:hint="eastAsia" w:ascii="宋体" w:hAnsi="宋体" w:eastAsia="宋体" w:cs="宋体"/>
          <w:color w:val="000000" w:themeColor="text1"/>
          <w:sz w:val="24"/>
          <w:szCs w:val="24"/>
          <w:lang w:eastAsia="zh-CN"/>
          <w14:textFill>
            <w14:solidFill>
              <w14:schemeClr w14:val="tx1"/>
            </w14:solidFill>
          </w14:textFill>
        </w:rPr>
        <w:t>,运输时应避免挤压,碰撞；冷</w:t>
      </w:r>
      <w:r>
        <w:rPr>
          <w:rFonts w:hint="eastAsia" w:ascii="宋体" w:hAnsi="宋体" w:eastAsia="宋体" w:cs="宋体"/>
          <w:color w:val="000000" w:themeColor="text1"/>
          <w:sz w:val="24"/>
          <w:szCs w:val="24"/>
          <w:lang w:val="en-US" w:eastAsia="zh-CN"/>
          <w14:textFill>
            <w14:solidFill>
              <w14:schemeClr w14:val="tx1"/>
            </w14:solidFill>
          </w14:textFill>
        </w:rPr>
        <w:t>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避光</w:t>
      </w:r>
      <w:r>
        <w:rPr>
          <w:rFonts w:hint="eastAsia" w:ascii="宋体" w:hAnsi="宋体" w:eastAsia="宋体" w:cs="宋体"/>
          <w:color w:val="000000" w:themeColor="text1"/>
          <w:sz w:val="24"/>
          <w:szCs w:val="24"/>
          <w:lang w:eastAsia="zh-CN"/>
          <w14:textFill>
            <w14:solidFill>
              <w14:schemeClr w14:val="tx1"/>
            </w14:solidFill>
          </w14:textFill>
        </w:rPr>
        <w:t>条件下贮存</w:t>
      </w:r>
      <w:r>
        <w:rPr>
          <w:rFonts w:hint="eastAsia" w:ascii="宋体" w:hAnsi="宋体" w:eastAsia="宋体" w:cs="宋体"/>
          <w:color w:val="000000"/>
          <w:sz w:val="24"/>
          <w:szCs w:val="24"/>
          <w:lang w:eastAsia="zh-CN"/>
        </w:rPr>
        <w:t>。</w:t>
      </w:r>
    </w:p>
    <w:p>
      <w:pPr>
        <w:pStyle w:val="9"/>
        <w:widowControl w:val="0"/>
        <w:autoSpaceDE w:val="0"/>
        <w:autoSpaceDN w:val="0"/>
        <w:adjustRightInd w:val="0"/>
        <w:spacing w:before="0" w:after="0" w:line="400" w:lineRule="exact"/>
        <w:ind w:firstLine="480" w:firstLineChars="200"/>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w:t>
      </w:r>
      <w:r>
        <w:rPr>
          <w:rFonts w:hint="eastAsia" w:ascii="宋体" w:hAnsi="宋体" w:eastAsia="宋体" w:cs="宋体"/>
          <w:color w:val="000000" w:themeColor="text1"/>
          <w:sz w:val="24"/>
          <w:szCs w:val="24"/>
          <w:lang w:eastAsia="zh-CN"/>
          <w14:textFill>
            <w14:solidFill>
              <w14:schemeClr w14:val="tx1"/>
            </w14:solidFill>
          </w14:textFill>
        </w:rPr>
        <w:t xml:space="preserve">使用: </w:t>
      </w:r>
      <w:r>
        <w:rPr>
          <w:rFonts w:hint="eastAsia" w:ascii="宋体" w:hAnsi="宋体" w:eastAsia="宋体" w:cs="宋体"/>
          <w:color w:val="000000" w:themeColor="text1"/>
          <w:sz w:val="24"/>
          <w:szCs w:val="24"/>
          <w:lang w:val="en-US" w:eastAsia="zh-CN"/>
          <w14:textFill>
            <w14:solidFill>
              <w14:schemeClr w14:val="tx1"/>
            </w14:solidFill>
          </w14:textFill>
        </w:rPr>
        <w:t>启封前于室温（20±3℃）平衡，并充分摇匀。</w:t>
      </w:r>
      <w:r>
        <w:rPr>
          <w:rFonts w:hint="eastAsia" w:ascii="宋体" w:hAnsi="宋体" w:eastAsia="宋体" w:cs="宋体"/>
          <w:color w:val="000000"/>
          <w:sz w:val="24"/>
          <w:szCs w:val="24"/>
          <w:lang w:val="en-US" w:eastAsia="zh-CN"/>
        </w:rPr>
        <w:t>安瓿瓶一经打开，应立即使用，留存时间过长可导致量值变化。温度变化会导致溶液体积发生变化，可根据GB/T601附录A进行体积校正。安瓿瓶打开后应一次性使用完毕，有效期限是指安瓿瓶未打开前在规定保存条件下可以使用的最后日期。</w:t>
      </w:r>
      <w:bookmarkStart w:id="0" w:name="_GoBack"/>
      <w:bookmarkEnd w:id="0"/>
    </w:p>
    <w:p>
      <w:pPr>
        <w:rPr>
          <w:rFonts w:ascii="宋体" w:hAnsi="宋体" w:eastAsia="宋体" w:cs="宋体"/>
          <w:b/>
          <w:bCs/>
          <w:sz w:val="18"/>
          <w:szCs w:val="18"/>
        </w:rPr>
      </w:pPr>
    </w:p>
    <w:p>
      <w:pPr>
        <w:rPr>
          <w:rFonts w:ascii="宋体" w:hAnsi="宋体" w:eastAsia="宋体" w:cs="宋体"/>
          <w:b/>
          <w:bCs/>
          <w:sz w:val="18"/>
          <w:szCs w:val="18"/>
        </w:rPr>
      </w:pPr>
      <w:r>
        <w:rPr>
          <w:rFonts w:hint="eastAsia" w:ascii="宋体" w:hAnsi="宋体" w:eastAsia="宋体" w:cs="宋体"/>
          <w:b/>
          <w:bCs/>
          <w:sz w:val="18"/>
          <w:szCs w:val="18"/>
        </w:rPr>
        <w:t>声明</w:t>
      </w:r>
    </w:p>
    <w:p>
      <w:pPr>
        <w:widowControl/>
        <w:spacing w:line="300" w:lineRule="exact"/>
        <w:rPr>
          <w:rFonts w:ascii="宋体" w:hAnsi="宋体" w:eastAsia="宋体" w:cs="宋体"/>
          <w:sz w:val="18"/>
          <w:szCs w:val="18"/>
        </w:rPr>
      </w:pPr>
      <w:r>
        <w:rPr>
          <w:rFonts w:hint="eastAsia" w:ascii="宋体" w:hAnsi="宋体" w:eastAsia="宋体" w:cs="宋体"/>
          <w:sz w:val="18"/>
          <w:szCs w:val="18"/>
        </w:rPr>
        <w:t>1.本标准物质仅供实验室研究与分析测试工作使用。因用户使用或存储不当所引起的投诉，不予承担责任。</w:t>
      </w:r>
    </w:p>
    <w:p>
      <w:pPr>
        <w:widowControl/>
        <w:spacing w:line="300" w:lineRule="exact"/>
        <w:rPr>
          <w:rFonts w:ascii="宋体" w:hAnsi="宋体" w:eastAsia="宋体" w:cs="宋体"/>
          <w:sz w:val="18"/>
          <w:szCs w:val="18"/>
        </w:rPr>
      </w:pPr>
      <w:r>
        <w:rPr>
          <w:rFonts w:hint="eastAsia" w:ascii="宋体" w:hAnsi="宋体" w:eastAsia="宋体" w:cs="宋体"/>
          <w:sz w:val="18"/>
          <w:szCs w:val="18"/>
        </w:rPr>
        <w:t>2.收到后请立即核对品种、数量和包装，相关赔偿只限于标准物质本身，不涉及其他任何损失。</w:t>
      </w:r>
    </w:p>
    <w:p>
      <w:pPr>
        <w:widowControl/>
        <w:spacing w:line="300" w:lineRule="exact"/>
        <w:rPr>
          <w:rFonts w:ascii="宋体" w:hAnsi="宋体" w:eastAsia="宋体" w:cs="宋体"/>
          <w:sz w:val="18"/>
          <w:szCs w:val="18"/>
        </w:rPr>
      </w:pPr>
      <w:r>
        <w:rPr>
          <w:rFonts w:hint="eastAsia" w:ascii="宋体" w:hAnsi="宋体" w:eastAsia="宋体" w:cs="宋体"/>
          <w:sz w:val="18"/>
          <w:szCs w:val="18"/>
        </w:rPr>
        <w:t>3.仅对加盖“上海源叶生物质检专用章”的完整证书负责。请妥善保管此证书。</w:t>
      </w:r>
    </w:p>
    <w:p>
      <w:pPr>
        <w:widowControl/>
        <w:spacing w:line="300" w:lineRule="exact"/>
        <w:rPr>
          <w:rFonts w:ascii="宋体" w:hAnsi="宋体" w:eastAsia="宋体" w:cs="宋体"/>
          <w:sz w:val="18"/>
          <w:szCs w:val="18"/>
        </w:rPr>
      </w:pPr>
      <w:r>
        <w:rPr>
          <w:rFonts w:hint="eastAsia" w:ascii="宋体" w:hAnsi="宋体" w:eastAsia="宋体" w:cs="宋体"/>
          <w:sz w:val="18"/>
          <w:szCs w:val="18"/>
        </w:rPr>
        <w:t>4.如需获得更多与使用有关的信息，请与技术部门联系。</w:t>
      </w:r>
    </w:p>
    <w:p>
      <w:pPr>
        <w:widowControl/>
        <w:spacing w:line="300" w:lineRule="exact"/>
        <w:rPr>
          <w:rFonts w:ascii="宋体" w:hAnsi="宋体" w:eastAsia="宋体" w:cs="宋体"/>
          <w:szCs w:val="21"/>
        </w:rPr>
      </w:pPr>
    </w:p>
    <w:p>
      <w:pPr>
        <w:rPr>
          <w:rFonts w:ascii="宋体" w:hAnsi="宋体" w:eastAsia="宋体" w:cs="宋体"/>
          <w:color w:val="000000"/>
          <w:sz w:val="27"/>
        </w:rPr>
      </w:pPr>
      <w:r>
        <w:rPr>
          <w:rFonts w:ascii="宋体" w:hAnsi="宋体" w:eastAsia="宋体" w:cs="宋体"/>
          <w:sz w:val="27"/>
        </w:rPr>
        <mc:AlternateContent>
          <mc:Choice Requires="wps">
            <w:drawing>
              <wp:anchor distT="0" distB="0" distL="114300" distR="114300" simplePos="0" relativeHeight="251659264" behindDoc="0" locked="0" layoutInCell="1" allowOverlap="1">
                <wp:simplePos x="0" y="0"/>
                <wp:positionH relativeFrom="column">
                  <wp:posOffset>1188085</wp:posOffset>
                </wp:positionH>
                <wp:positionV relativeFrom="paragraph">
                  <wp:posOffset>137795</wp:posOffset>
                </wp:positionV>
                <wp:extent cx="4078605" cy="1207135"/>
                <wp:effectExtent l="0" t="0" r="0" b="0"/>
                <wp:wrapNone/>
                <wp:docPr id="3" name="文本框 3"/>
                <wp:cNvGraphicFramePr/>
                <a:graphic xmlns:a="http://schemas.openxmlformats.org/drawingml/2006/main">
                  <a:graphicData uri="http://schemas.microsoft.com/office/word/2010/wordprocessingShape">
                    <wps:wsp>
                      <wps:cNvSpPr txBox="1"/>
                      <wps:spPr>
                        <a:xfrm>
                          <a:off x="2463800" y="1109345"/>
                          <a:ext cx="4078605" cy="965835"/>
                        </a:xfrm>
                        <a:prstGeom prst="rect">
                          <a:avLst/>
                        </a:prstGeom>
                        <a:noFill/>
                        <a:ln w="6350">
                          <a:noFill/>
                        </a:ln>
                        <a:effectLst/>
                      </wps:spPr>
                      <wps:txbx>
                        <w:txbxContent>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研制单位：上海源叶生物科技有限公司    热线电话：4006665481</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官网网址：</w:t>
                            </w:r>
                            <w:r>
                              <w:fldChar w:fldCharType="begin"/>
                            </w:r>
                            <w:r>
                              <w:instrText xml:space="preserve"> HYPERLINK "http://www.shyuanye.com" </w:instrText>
                            </w:r>
                            <w:r>
                              <w:fldChar w:fldCharType="separate"/>
                            </w:r>
                            <w:r>
                              <w:rPr>
                                <w:rStyle w:val="8"/>
                                <w:rFonts w:hint="eastAsia"/>
                                <w:sz w:val="18"/>
                                <w:szCs w:val="18"/>
                              </w:rPr>
                              <w:t>www.shyuanye.com</w:t>
                            </w:r>
                            <w:r>
                              <w:rPr>
                                <w:rStyle w:val="8"/>
                                <w:rFonts w:hint="eastAsia"/>
                                <w:sz w:val="18"/>
                                <w:szCs w:val="18"/>
                              </w:rPr>
                              <w:fldChar w:fldCharType="end"/>
                            </w:r>
                            <w:r>
                              <w:rPr>
                                <w:rFonts w:hint="eastAsia"/>
                                <w:sz w:val="18"/>
                                <w:szCs w:val="18"/>
                              </w:rPr>
                              <w:t xml:space="preserve">           传真：021-55068248</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技术咨询：1381</w:t>
                            </w:r>
                            <w:r>
                              <w:rPr>
                                <w:rFonts w:hint="eastAsia"/>
                                <w:sz w:val="18"/>
                                <w:szCs w:val="18"/>
                                <w:lang w:val="en-US" w:eastAsia="zh-CN"/>
                              </w:rPr>
                              <w:t>79</w:t>
                            </w:r>
                            <w:r>
                              <w:rPr>
                                <w:rFonts w:hint="eastAsia"/>
                                <w:sz w:val="18"/>
                                <w:szCs w:val="18"/>
                              </w:rPr>
                              <w:t>23140                技术邮箱：</w:t>
                            </w:r>
                            <w:r>
                              <w:fldChar w:fldCharType="begin"/>
                            </w:r>
                            <w:r>
                              <w:instrText xml:space="preserve"> HYPERLINK "mailto:3008007419@qq.com" </w:instrText>
                            </w:r>
                            <w:r>
                              <w:fldChar w:fldCharType="separate"/>
                            </w:r>
                            <w:r>
                              <w:rPr>
                                <w:rStyle w:val="8"/>
                                <w:rFonts w:hint="eastAsia"/>
                                <w:sz w:val="18"/>
                                <w:szCs w:val="18"/>
                              </w:rPr>
                              <w:t>3008007419@qq.com</w:t>
                            </w:r>
                            <w:r>
                              <w:rPr>
                                <w:rStyle w:val="8"/>
                                <w:rFonts w:hint="eastAsia"/>
                                <w:sz w:val="18"/>
                                <w:szCs w:val="18"/>
                              </w:rPr>
                              <w:fldChar w:fldCharType="end"/>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单位地址：上海市松江区长塔路465号6幢</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3.55pt;margin-top:10.85pt;height:95.05pt;width:321.15pt;z-index:251659264;mso-width-relative:page;mso-height-relative:page;" filled="f" stroked="f" coordsize="21600,21600" o:gfxdata="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yFCjnaAAAACgEAAA8A&#10;AAAAAAAAAQAgAAAAIgAAAGRycy9kb3ducmV2LnhtbFBLAQIUABQAAAAIAIdO4kCqrcxYTgIAAIAE&#10;AAAOAAAAAAAAAAEAIAAAACkBAABkcnMvZTJvRG9jLnhtbFBLBQYAAAAABgAGAFkBAADpBQAAAAA=&#10;">
                <v:fill on="f" focussize="0,0"/>
                <v:stroke on="f" weight="0.5pt"/>
                <v:imagedata o:title=""/>
                <o:lock v:ext="edit" aspectratio="f"/>
                <v:textbox>
                  <w:txbxContent>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研制单位：上海源叶生物科技有限公司    热线电话：4006665481</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官网网址：</w:t>
                      </w:r>
                      <w:r>
                        <w:fldChar w:fldCharType="begin"/>
                      </w:r>
                      <w:r>
                        <w:instrText xml:space="preserve"> HYPERLINK "http://www.shyuanye.com" </w:instrText>
                      </w:r>
                      <w:r>
                        <w:fldChar w:fldCharType="separate"/>
                      </w:r>
                      <w:r>
                        <w:rPr>
                          <w:rStyle w:val="8"/>
                          <w:rFonts w:hint="eastAsia"/>
                          <w:sz w:val="18"/>
                          <w:szCs w:val="18"/>
                        </w:rPr>
                        <w:t>www.shyuanye.com</w:t>
                      </w:r>
                      <w:r>
                        <w:rPr>
                          <w:rStyle w:val="8"/>
                          <w:rFonts w:hint="eastAsia"/>
                          <w:sz w:val="18"/>
                          <w:szCs w:val="18"/>
                        </w:rPr>
                        <w:fldChar w:fldCharType="end"/>
                      </w:r>
                      <w:r>
                        <w:rPr>
                          <w:rFonts w:hint="eastAsia"/>
                          <w:sz w:val="18"/>
                          <w:szCs w:val="18"/>
                        </w:rPr>
                        <w:t xml:space="preserve">           传真：021-55068248</w:t>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技术咨询：1381</w:t>
                      </w:r>
                      <w:r>
                        <w:rPr>
                          <w:rFonts w:hint="eastAsia"/>
                          <w:sz w:val="18"/>
                          <w:szCs w:val="18"/>
                          <w:lang w:val="en-US" w:eastAsia="zh-CN"/>
                        </w:rPr>
                        <w:t>79</w:t>
                      </w:r>
                      <w:r>
                        <w:rPr>
                          <w:rFonts w:hint="eastAsia"/>
                          <w:sz w:val="18"/>
                          <w:szCs w:val="18"/>
                        </w:rPr>
                        <w:t>23140                技术邮箱：</w:t>
                      </w:r>
                      <w:r>
                        <w:fldChar w:fldCharType="begin"/>
                      </w:r>
                      <w:r>
                        <w:instrText xml:space="preserve"> HYPERLINK "mailto:3008007419@qq.com" </w:instrText>
                      </w:r>
                      <w:r>
                        <w:fldChar w:fldCharType="separate"/>
                      </w:r>
                      <w:r>
                        <w:rPr>
                          <w:rStyle w:val="8"/>
                          <w:rFonts w:hint="eastAsia"/>
                          <w:sz w:val="18"/>
                          <w:szCs w:val="18"/>
                        </w:rPr>
                        <w:t>3008007419@qq.com</w:t>
                      </w:r>
                      <w:r>
                        <w:rPr>
                          <w:rStyle w:val="8"/>
                          <w:rFonts w:hint="eastAsia"/>
                          <w:sz w:val="18"/>
                          <w:szCs w:val="18"/>
                        </w:rPr>
                        <w:fldChar w:fldCharType="end"/>
                      </w:r>
                    </w:p>
                    <w:p>
                      <w:pPr>
                        <w:keepNext w:val="0"/>
                        <w:keepLines w:val="0"/>
                        <w:pageBreakBefore w:val="0"/>
                        <w:widowControl/>
                        <w:kinsoku/>
                        <w:wordWrap/>
                        <w:overflowPunct/>
                        <w:topLinePunct w:val="0"/>
                        <w:autoSpaceDE/>
                        <w:autoSpaceDN/>
                        <w:bidi w:val="0"/>
                        <w:adjustRightInd/>
                        <w:snapToGrid/>
                        <w:spacing w:line="240" w:lineRule="exact"/>
                        <w:textAlignment w:val="auto"/>
                        <w:rPr>
                          <w:sz w:val="18"/>
                          <w:szCs w:val="18"/>
                        </w:rPr>
                      </w:pPr>
                      <w:r>
                        <w:rPr>
                          <w:rFonts w:hint="eastAsia"/>
                          <w:sz w:val="18"/>
                          <w:szCs w:val="18"/>
                        </w:rPr>
                        <w:t>单位地址：上海市松江区长塔路465号6幢</w:t>
                      </w:r>
                    </w:p>
                    <w:p/>
                  </w:txbxContent>
                </v:textbox>
              </v:shape>
            </w:pict>
          </mc:Fallback>
        </mc:AlternateContent>
      </w:r>
      <w:r>
        <w:rPr>
          <w:rFonts w:hint="eastAsia" w:ascii="宋体" w:hAnsi="宋体" w:eastAsia="宋体" w:cs="宋体"/>
          <w:color w:val="000000"/>
          <w:sz w:val="27"/>
        </w:rPr>
        <w:drawing>
          <wp:inline distT="0" distB="0" distL="114300" distR="114300">
            <wp:extent cx="1139825" cy="1139825"/>
            <wp:effectExtent l="0" t="0" r="3175" b="317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8"/>
                    <a:stretch>
                      <a:fillRect/>
                    </a:stretch>
                  </pic:blipFill>
                  <pic:spPr>
                    <a:xfrm>
                      <a:off x="0" y="0"/>
                      <a:ext cx="1139825" cy="1139825"/>
                    </a:xfrm>
                    <a:prstGeom prst="rect">
                      <a:avLst/>
                    </a:prstGeom>
                  </pic:spPr>
                </pic:pic>
              </a:graphicData>
            </a:graphic>
          </wp:inline>
        </w:drawing>
      </w: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color w:val="000000"/>
          <w:sz w:val="27"/>
        </w:rPr>
      </w:pPr>
    </w:p>
    <w:p>
      <w:pPr>
        <w:rPr>
          <w:rFonts w:ascii="宋体" w:hAnsi="宋体" w:eastAsia="宋体" w:cs="宋体"/>
          <w:sz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787"/>
    <w:rsid w:val="000A27FD"/>
    <w:rsid w:val="000D109E"/>
    <w:rsid w:val="00274F95"/>
    <w:rsid w:val="004A2DF7"/>
    <w:rsid w:val="00870DD5"/>
    <w:rsid w:val="008D5985"/>
    <w:rsid w:val="009518C5"/>
    <w:rsid w:val="00A10FC9"/>
    <w:rsid w:val="00B15AA5"/>
    <w:rsid w:val="00D52787"/>
    <w:rsid w:val="00E27895"/>
    <w:rsid w:val="00E8473F"/>
    <w:rsid w:val="03747AFA"/>
    <w:rsid w:val="083349B1"/>
    <w:rsid w:val="0A9178F5"/>
    <w:rsid w:val="0B0A18F7"/>
    <w:rsid w:val="0C337E62"/>
    <w:rsid w:val="0D7161B9"/>
    <w:rsid w:val="0DB55C74"/>
    <w:rsid w:val="159E0138"/>
    <w:rsid w:val="18B47D79"/>
    <w:rsid w:val="1ACB7423"/>
    <w:rsid w:val="1B9E73A9"/>
    <w:rsid w:val="208573F9"/>
    <w:rsid w:val="21B5540B"/>
    <w:rsid w:val="22B22269"/>
    <w:rsid w:val="235D2BD8"/>
    <w:rsid w:val="24660F48"/>
    <w:rsid w:val="28E8199C"/>
    <w:rsid w:val="2A3F6D06"/>
    <w:rsid w:val="2C6C4915"/>
    <w:rsid w:val="2D8A0633"/>
    <w:rsid w:val="2FCD7F57"/>
    <w:rsid w:val="31B328CE"/>
    <w:rsid w:val="32082C73"/>
    <w:rsid w:val="32B15F53"/>
    <w:rsid w:val="32E208AC"/>
    <w:rsid w:val="383006CD"/>
    <w:rsid w:val="3A9A12C1"/>
    <w:rsid w:val="3E060958"/>
    <w:rsid w:val="3E3F7458"/>
    <w:rsid w:val="3F4819C0"/>
    <w:rsid w:val="40547DBC"/>
    <w:rsid w:val="45A96F17"/>
    <w:rsid w:val="46ED5CDD"/>
    <w:rsid w:val="4D201F04"/>
    <w:rsid w:val="4D9A7C3A"/>
    <w:rsid w:val="50E964D4"/>
    <w:rsid w:val="597A1264"/>
    <w:rsid w:val="5D3748F8"/>
    <w:rsid w:val="5DB702D2"/>
    <w:rsid w:val="5DB85BB6"/>
    <w:rsid w:val="5F0B4202"/>
    <w:rsid w:val="5F315CF9"/>
    <w:rsid w:val="5F8E596F"/>
    <w:rsid w:val="631F6CA8"/>
    <w:rsid w:val="651B2165"/>
    <w:rsid w:val="69176DB0"/>
    <w:rsid w:val="69F027AB"/>
    <w:rsid w:val="75C21D45"/>
    <w:rsid w:val="77060FAD"/>
    <w:rsid w:val="78D33D64"/>
    <w:rsid w:val="79356D60"/>
    <w:rsid w:val="7AB95B7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qFormat/>
    <w:uiPriority w:val="0"/>
    <w:pPr>
      <w:spacing w:after="0" w:line="240" w:lineRule="auto"/>
    </w:pPr>
    <w:rPr>
      <w:rFonts w:ascii="微软雅黑" w:eastAsia="微软雅黑"/>
      <w:sz w:val="18"/>
      <w:szCs w:val="18"/>
    </w:rPr>
  </w:style>
  <w:style w:type="paragraph" w:styleId="3">
    <w:name w:val="footer"/>
    <w:basedOn w:val="1"/>
    <w:link w:val="12"/>
    <w:qFormat/>
    <w:uiPriority w:val="0"/>
    <w:pPr>
      <w:tabs>
        <w:tab w:val="center" w:pos="4680"/>
        <w:tab w:val="right" w:pos="9360"/>
      </w:tabs>
      <w:spacing w:after="0" w:line="240" w:lineRule="auto"/>
    </w:pPr>
  </w:style>
  <w:style w:type="paragraph" w:styleId="4">
    <w:name w:val="header"/>
    <w:basedOn w:val="1"/>
    <w:link w:val="11"/>
    <w:qFormat/>
    <w:uiPriority w:val="0"/>
    <w:pPr>
      <w:tabs>
        <w:tab w:val="center" w:pos="4680"/>
        <w:tab w:val="right" w:pos="9360"/>
      </w:tabs>
      <w:spacing w:after="0" w:line="240" w:lineRule="auto"/>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qFormat/>
    <w:uiPriority w:val="0"/>
    <w:rPr>
      <w:color w:val="0000FF"/>
      <w:u w:val="single"/>
    </w:rPr>
  </w:style>
  <w:style w:type="paragraph" w:customStyle="1" w:styleId="9">
    <w:name w:val="Normal_1"/>
    <w:qFormat/>
    <w:uiPriority w:val="0"/>
    <w:pPr>
      <w:spacing w:before="120" w:after="240" w:line="276" w:lineRule="auto"/>
      <w:jc w:val="both"/>
    </w:pPr>
    <w:rPr>
      <w:rFonts w:ascii="Calibri" w:hAnsi="Calibri" w:eastAsia="Calibri" w:cs="Times New Roman"/>
      <w:sz w:val="22"/>
      <w:szCs w:val="22"/>
      <w:lang w:val="ru-RU" w:eastAsia="en-US" w:bidi="ar-SA"/>
    </w:rPr>
  </w:style>
  <w:style w:type="paragraph" w:customStyle="1" w:styleId="10">
    <w:name w:val="Normal_0"/>
    <w:qFormat/>
    <w:uiPriority w:val="0"/>
    <w:pPr>
      <w:spacing w:before="120" w:after="240" w:line="276" w:lineRule="auto"/>
      <w:jc w:val="both"/>
    </w:pPr>
    <w:rPr>
      <w:rFonts w:ascii="Calibri" w:hAnsi="Calibri" w:eastAsia="Calibri" w:cs="Times New Roman"/>
      <w:sz w:val="22"/>
      <w:szCs w:val="22"/>
      <w:lang w:val="ru-RU" w:eastAsia="en-US" w:bidi="ar-SA"/>
    </w:rPr>
  </w:style>
  <w:style w:type="character" w:customStyle="1" w:styleId="11">
    <w:name w:val="页眉 Char"/>
    <w:basedOn w:val="7"/>
    <w:link w:val="4"/>
    <w:qFormat/>
    <w:uiPriority w:val="0"/>
    <w:rPr>
      <w:rFonts w:asciiTheme="minorHAnsi" w:hAnsiTheme="minorHAnsi" w:eastAsiaTheme="minorEastAsia" w:cstheme="minorBidi"/>
      <w:kern w:val="2"/>
      <w:sz w:val="21"/>
      <w:szCs w:val="24"/>
    </w:rPr>
  </w:style>
  <w:style w:type="character" w:customStyle="1" w:styleId="12">
    <w:name w:val="页脚 Char"/>
    <w:basedOn w:val="7"/>
    <w:link w:val="3"/>
    <w:qFormat/>
    <w:uiPriority w:val="0"/>
    <w:rPr>
      <w:rFonts w:asciiTheme="minorHAnsi" w:hAnsiTheme="minorHAnsi" w:eastAsiaTheme="minorEastAsia" w:cstheme="minorBidi"/>
      <w:kern w:val="2"/>
      <w:sz w:val="21"/>
      <w:szCs w:val="24"/>
    </w:rPr>
  </w:style>
  <w:style w:type="character" w:customStyle="1" w:styleId="13">
    <w:name w:val="批注框文本 Char"/>
    <w:basedOn w:val="7"/>
    <w:link w:val="2"/>
    <w:qFormat/>
    <w:uiPriority w:val="0"/>
    <w:rPr>
      <w:rFonts w:ascii="微软雅黑" w:eastAsia="微软雅黑" w:hAnsiTheme="minorHAnsi"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937</Words>
  <Characters>304</Characters>
  <Lines>2</Lines>
  <Paragraphs>2</Paragraphs>
  <TotalTime>6</TotalTime>
  <ScaleCrop>false</ScaleCrop>
  <LinksUpToDate>false</LinksUpToDate>
  <CharactersWithSpaces>1239</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2020-12-30T09:28:00Z</dcterms:created>
  <dc:creator>86138</dc:creator>
  <cp:lastModifiedBy>16542</cp:lastModifiedBy>
  <dcterms:modified xsi:type="dcterms:W3CDTF">2022-01-25T00:44:34Z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D93ACCFCCD124C6BB2F312C1037625F6</vt:lpwstr>
  </property>
</Properties>
</file>