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B62497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 xml:space="preserve"> 水中亚硝酸盐氮(NO2-N) 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ascii="宋体" w:hAnsi="宋体" w:eastAsia="宋体" w:cs="宋体"/>
          <w:color w:val="000000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7"/>
          <w:lang w:eastAsia="zh-CN"/>
        </w:rPr>
      </w:pPr>
      <w:r>
        <w:rPr>
          <w:rFonts w:hint="eastAsia" w:ascii="宋体" w:hAnsi="宋体" w:eastAsia="宋体" w:cs="宋体"/>
          <w:color w:val="000000"/>
          <w:sz w:val="27"/>
          <w:lang w:eastAsia="zh-CN"/>
        </w:rPr>
        <w:t>上海源叶生物科技有限公司</w:t>
      </w: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00000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批  号:    F26HB176456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17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16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hint="default" w:ascii="宋体" w:hAnsi="宋体" w:eastAsia="宋体" w:cs="宋体"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确认与</w:t>
      </w:r>
      <w:r>
        <w:rPr>
          <w:rFonts w:hint="eastAsia" w:ascii="宋体" w:hAnsi="宋体" w:eastAsia="宋体" w:cs="宋体"/>
          <w:color w:val="auto"/>
          <w:sz w:val="24"/>
        </w:rPr>
        <w:t>评价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测量过程</w:t>
      </w:r>
      <w:r>
        <w:rPr>
          <w:rFonts w:hint="eastAsia" w:ascii="宋体" w:hAnsi="宋体" w:eastAsia="宋体" w:cs="宋体"/>
          <w:color w:val="auto"/>
          <w:sz w:val="24"/>
        </w:rPr>
        <w:t>质量控制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及技术仲裁与认证评价，也可作为标准储备溶液，通过逐级稀释配制成各种工作用标准溶液。本标准物质适用于分光光度法，离子色谱法(IC)等方法分析测试使用。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一、样品制备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以纯度标准物质高纯亚硝酸钠和符合国家一级水标准的纯水为原料，在(20±3)℃的恒温条件下采用重量-容量法准确配置而成。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、溯源性及定值方法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本标准物质以配置值作为标准值，采用离子色谱法进行量值核定。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auto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三、特性量值及不确定度</w:t>
      </w:r>
    </w:p>
    <w:tbl>
      <w:tblPr>
        <w:tblStyle w:val="6"/>
        <w:tblW w:w="86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917"/>
        <w:gridCol w:w="1365"/>
        <w:gridCol w:w="1735"/>
        <w:gridCol w:w="17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2917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1365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标准值（ug/mL）</w:t>
            </w:r>
          </w:p>
        </w:tc>
        <w:tc>
          <w:tcPr>
            <w:tcW w:w="1735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  <w:tc>
          <w:tcPr>
            <w:tcW w:w="1735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基体(V/V)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41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62497</w:t>
            </w:r>
          </w:p>
        </w:tc>
        <w:tc>
          <w:tcPr>
            <w:tcW w:w="2917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 xml:space="preserve"> 水中亚硝酸盐氮(NO2-N)</w:t>
            </w:r>
          </w:p>
        </w:tc>
        <w:tc>
          <w:tcPr>
            <w:tcW w:w="1365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</w:p>
        </w:tc>
        <w:tc>
          <w:tcPr>
            <w:tcW w:w="1735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3</w:t>
            </w:r>
          </w:p>
        </w:tc>
        <w:tc>
          <w:tcPr>
            <w:tcW w:w="1735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水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Cs w:val="21"/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四、均匀性检验及稳定性考察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本标准物质自定值日期起，有效期24个月，研制单位将继续监测该标准物质的稳定性，有效期内如发现量值变化，将及时通知用户。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1.包装: 本标准物质采用安瓿瓶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分</w:t>
      </w:r>
      <w:r>
        <w:rPr>
          <w:rFonts w:hint="eastAsia" w:ascii="宋体" w:hAnsi="宋体" w:eastAsia="宋体" w:cs="宋体"/>
          <w:color w:val="auto"/>
          <w:sz w:val="24"/>
        </w:rPr>
        <w:t>装，约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20</w:t>
      </w:r>
      <w:r>
        <w:rPr>
          <w:rFonts w:hint="eastAsia" w:ascii="宋体" w:hAnsi="宋体" w:eastAsia="宋体" w:cs="宋体"/>
          <w:color w:val="auto"/>
          <w:sz w:val="24"/>
        </w:rPr>
        <w:t>mL/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瓶</w:t>
      </w:r>
      <w:r>
        <w:rPr>
          <w:rFonts w:hint="eastAsia" w:ascii="宋体" w:hAnsi="宋体" w:eastAsia="宋体" w:cs="宋体"/>
          <w:color w:val="auto"/>
          <w:sz w:val="24"/>
        </w:rPr>
        <w:t>，移取或稀释时请以移液管量取为准。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2.运输和贮存: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常温运输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冷藏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hint="default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温度变化导致溶液体积发生变化，可根据GB/T601附录A进行体积校正。安瓿瓶一经打开，应立即使用，不可再次熔封后作为标准物质使用。有效期是指安瓿瓶未打开前在规定保存条件下可以使用的最后日期。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1BE45540"/>
    <w:rsid w:val="208573F9"/>
    <w:rsid w:val="218B7F57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127228E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0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1</TotalTime>
  <ScaleCrop>false</ScaleCrop>
  <LinksUpToDate>false</LinksUpToDate>
  <CharactersWithSpaces>1239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16542</cp:lastModifiedBy>
  <dcterms:modified xsi:type="dcterms:W3CDTF">2022-02-28T05:03:28Z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5908709144374F528C9EE8D34F9A9634</vt:lpwstr>
  </property>
</Properties>
</file>