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hint="default" w:ascii="宋体" w:hAnsi="宋体" w:eastAsia="宋体" w:cs="宋体"/>
          <w:color w:val="000000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30"/>
          <w:lang w:val="en-US" w:eastAsia="zh-CN"/>
        </w:rPr>
        <w:t>BW10184</w:t>
      </w:r>
    </w:p>
    <w:p>
      <w:pPr>
        <w:spacing w:line="400" w:lineRule="exact"/>
        <w:ind w:firstLine="420" w:firstLineChars="200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</w:rPr>
        <w:drawing>
          <wp:anchor distT="0" distB="0" distL="114300" distR="114300" simplePos="0" relativeHeight="251660288" behindDoc="1" locked="1" layoutInCell="1" allowOverlap="1">
            <wp:simplePos x="0" y="0"/>
            <wp:positionH relativeFrom="page">
              <wp:posOffset>941070</wp:posOffset>
            </wp:positionH>
            <wp:positionV relativeFrom="page">
              <wp:posOffset>31750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000000"/>
          <w:sz w:val="48"/>
          <w:lang w:eastAsia="zh-CN"/>
        </w:rPr>
      </w:pPr>
      <w:r>
        <w:rPr>
          <w:rFonts w:hint="eastAsia" w:ascii="宋体" w:hAnsi="宋体" w:eastAsia="宋体" w:cs="宋体"/>
          <w:color w:val="000000"/>
          <w:sz w:val="48"/>
          <w:lang w:eastAsia="zh-CN"/>
        </w:rPr>
        <w:t>标 准 物 质 证 书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hint="default" w:ascii="宋体" w:hAnsi="宋体" w:eastAsia="宋体" w:cs="宋体"/>
          <w:color w:val="000000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30"/>
          <w:lang w:val="en-US" w:eastAsia="zh-CN"/>
        </w:rPr>
        <w:t>丙酮中丙草胺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hAnsi="宋体" w:eastAsia="宋体" w:cs="宋体"/>
          <w:color w:val="000000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30"/>
          <w:lang w:val="en-US" w:eastAsia="zh-CN"/>
        </w:rPr>
        <w:t> Pretilachlor in acetone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hAnsi="宋体" w:eastAsia="宋体" w:cs="宋体"/>
          <w:color w:val="000000"/>
          <w:sz w:val="48"/>
          <w:lang w:eastAsia="zh-CN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  <w:r>
        <w:rPr>
          <w:rFonts w:ascii="宋体" w:hAnsi="宋体" w:eastAsia="宋体" w:cs="宋体"/>
          <w:color w:val="000000"/>
          <w:sz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/>
          <w:sz w:val="27"/>
          <w:lang w:eastAsia="zh-CN"/>
        </w:rPr>
      </w:pPr>
      <w:r>
        <w:rPr>
          <w:rFonts w:hint="eastAsia" w:ascii="宋体" w:hAnsi="宋体" w:eastAsia="宋体" w:cs="宋体"/>
          <w:color w:val="000000"/>
          <w:sz w:val="27"/>
          <w:lang w:eastAsia="zh-CN"/>
        </w:rPr>
        <w:t>上海源叶生物科技有限公司</w:t>
      </w:r>
    </w:p>
    <w:p>
      <w:pPr>
        <w:pStyle w:val="1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="810" w:firstLineChars="300"/>
        <w:jc w:val="left"/>
        <w:rPr>
          <w:rFonts w:ascii="宋体" w:hAnsi="宋体" w:eastAsia="宋体" w:cs="宋体"/>
          <w:color w:val="000000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7"/>
          <w:lang w:val="en-US" w:eastAsia="zh-CN"/>
        </w:rPr>
        <w:t>中国    上海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hint="default" w:ascii="宋体" w:hAnsi="宋体" w:eastAsia="宋体" w:cs="宋体"/>
          <w:color w:val="000000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7"/>
          <w:lang w:eastAsia="zh-CN"/>
        </w:rPr>
        <w:t xml:space="preserve">批  号:    </w:t>
      </w:r>
      <w:r>
        <w:rPr>
          <w:rFonts w:hint="eastAsia" w:ascii="宋体" w:hAnsi="宋体" w:eastAsia="宋体" w:cs="宋体"/>
          <w:color w:val="000000"/>
          <w:sz w:val="27"/>
          <w:lang w:val="en-US" w:eastAsia="zh-CN"/>
        </w:rPr>
        <w:t>YY</w:t>
      </w:r>
      <w:r>
        <w:rPr>
          <w:rFonts w:hint="eastAsia" w:ascii="宋体" w:hAnsi="宋体" w:eastAsia="宋体" w:cs="宋体"/>
          <w:color w:val="000000"/>
          <w:sz w:val="27"/>
          <w:lang w:eastAsia="zh-CN"/>
        </w:rPr>
        <w:t>2</w:t>
      </w:r>
      <w:r>
        <w:rPr>
          <w:rFonts w:hint="eastAsia" w:ascii="宋体" w:hAnsi="宋体" w:eastAsia="宋体" w:cs="宋体"/>
          <w:color w:val="000000"/>
          <w:sz w:val="27"/>
          <w:lang w:val="en-US" w:eastAsia="zh-CN"/>
        </w:rPr>
        <w:t>2032603</w:t>
      </w: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/>
          <w:sz w:val="27"/>
          <w:lang w:eastAsia="zh-CN"/>
        </w:rPr>
      </w:pPr>
      <w:r>
        <w:rPr>
          <w:rFonts w:hint="eastAsia" w:ascii="宋体" w:hAnsi="宋体" w:eastAsia="宋体" w:cs="宋体"/>
          <w:color w:val="000000"/>
          <w:sz w:val="27"/>
          <w:lang w:eastAsia="zh-CN"/>
        </w:rPr>
        <w:t>定值日期:  202</w:t>
      </w:r>
      <w:r>
        <w:rPr>
          <w:rFonts w:hint="eastAsia" w:ascii="宋体" w:hAnsi="宋体" w:eastAsia="宋体" w:cs="宋体"/>
          <w:color w:val="000000"/>
          <w:sz w:val="27"/>
          <w:lang w:val="en-US" w:eastAsia="zh-CN"/>
        </w:rPr>
        <w:t>2</w:t>
      </w:r>
      <w:r>
        <w:rPr>
          <w:rFonts w:hint="eastAsia" w:ascii="宋体" w:hAnsi="宋体" w:eastAsia="宋体" w:cs="宋体"/>
          <w:color w:val="000000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color w:val="000000"/>
          <w:sz w:val="27"/>
          <w:lang w:val="en-US" w:eastAsia="zh-CN"/>
        </w:rPr>
        <w:t>03</w:t>
      </w:r>
      <w:r>
        <w:rPr>
          <w:rFonts w:hint="eastAsia" w:ascii="宋体" w:hAnsi="宋体" w:eastAsia="宋体" w:cs="宋体"/>
          <w:color w:val="000000"/>
          <w:sz w:val="27"/>
          <w:lang w:eastAsia="zh-CN"/>
        </w:rPr>
        <w:t xml:space="preserve"> 月 </w:t>
      </w:r>
      <w:r>
        <w:rPr>
          <w:rFonts w:hint="eastAsia" w:ascii="宋体" w:hAnsi="宋体" w:eastAsia="宋体" w:cs="宋体"/>
          <w:color w:val="000000"/>
          <w:sz w:val="27"/>
          <w:lang w:val="en-US" w:eastAsia="zh-CN"/>
        </w:rPr>
        <w:t>26</w:t>
      </w:r>
      <w:r>
        <w:rPr>
          <w:rFonts w:hint="eastAsia" w:ascii="宋体" w:hAnsi="宋体" w:eastAsia="宋体" w:cs="宋体"/>
          <w:color w:val="000000"/>
          <w:sz w:val="27"/>
          <w:lang w:eastAsia="zh-CN"/>
        </w:rPr>
        <w:t xml:space="preserve"> 日</w:t>
      </w: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/>
          <w:sz w:val="27"/>
          <w:lang w:eastAsia="zh-CN"/>
        </w:rPr>
      </w:pPr>
      <w:r>
        <w:rPr>
          <w:rFonts w:hint="eastAsia" w:ascii="宋体" w:hAnsi="宋体" w:eastAsia="宋体" w:cs="宋体"/>
          <w:color w:val="000000"/>
          <w:sz w:val="27"/>
          <w:lang w:eastAsia="zh-CN"/>
        </w:rPr>
        <w:t>有效期至:  202</w:t>
      </w:r>
      <w:r>
        <w:rPr>
          <w:rFonts w:hint="eastAsia" w:ascii="宋体" w:hAnsi="宋体" w:eastAsia="宋体" w:cs="宋体"/>
          <w:color w:val="000000"/>
          <w:sz w:val="27"/>
          <w:lang w:val="en-US" w:eastAsia="zh-CN"/>
        </w:rPr>
        <w:t>3</w:t>
      </w:r>
      <w:r>
        <w:rPr>
          <w:rFonts w:hint="eastAsia" w:ascii="宋体" w:hAnsi="宋体" w:eastAsia="宋体" w:cs="宋体"/>
          <w:color w:val="000000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color w:val="000000"/>
          <w:sz w:val="27"/>
          <w:lang w:val="en-US" w:eastAsia="zh-CN"/>
        </w:rPr>
        <w:t>03</w:t>
      </w:r>
      <w:r>
        <w:rPr>
          <w:rFonts w:hint="eastAsia" w:ascii="宋体" w:hAnsi="宋体" w:eastAsia="宋体" w:cs="宋体"/>
          <w:color w:val="000000"/>
          <w:sz w:val="27"/>
          <w:lang w:eastAsia="zh-CN"/>
        </w:rPr>
        <w:t xml:space="preserve"> 月 </w:t>
      </w:r>
      <w:r>
        <w:rPr>
          <w:rFonts w:hint="eastAsia" w:ascii="宋体" w:hAnsi="宋体" w:eastAsia="宋体" w:cs="宋体"/>
          <w:color w:val="000000"/>
          <w:sz w:val="27"/>
          <w:lang w:val="en-US" w:eastAsia="zh-CN"/>
        </w:rPr>
        <w:t xml:space="preserve">25 </w:t>
      </w:r>
      <w:r>
        <w:rPr>
          <w:rFonts w:hint="eastAsia" w:ascii="宋体" w:hAnsi="宋体" w:eastAsia="宋体" w:cs="宋体"/>
          <w:color w:val="000000"/>
          <w:sz w:val="27"/>
          <w:lang w:eastAsia="zh-CN"/>
        </w:rPr>
        <w:t>日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本标准物质主要用于测量仪器校准,分析方法评价和质量控制,以及食品、卫生、环境和农业等相关领域相应成分含量测定与残留检测，也可用于量值溯源或作为标液储备溶液，通过逐级稀释配置成各种工作用标准溶液等。</w:t>
      </w:r>
    </w:p>
    <w:p>
      <w:pPr>
        <w:spacing w:line="400" w:lineRule="exact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一、样品制备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本标准物质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采用纯度准确定值的丙草胺纯品为原料，以色谱丙酮为溶剂，采用重量-容量法准确配置而成。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丙草胺，英文名称：Pretilachlor，CAS号：51218-49-6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  <w:t>二</w:t>
      </w:r>
      <w:r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  <w:t>、溯源性及定值方法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本标准物质以配置值作为标准值，采用气相色谱法（FID检测器）对本批次标准物质和质量控制对照样品进行比对，核验配制值。</w:t>
      </w: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通过使用满足计量学特性要求的制备方法,测量方法和计量器具,保证标准物质的量值溯源性。</w:t>
      </w:r>
    </w:p>
    <w:p>
      <w:pPr>
        <w:spacing w:line="400" w:lineRule="exact"/>
        <w:rPr>
          <w:rFonts w:ascii="宋体" w:hAnsi="宋体" w:eastAsia="宋体" w:cs="宋体"/>
          <w:color w:val="000000"/>
          <w:sz w:val="28"/>
          <w:szCs w:val="28"/>
          <w:lang w:val="ru-RU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三、特性量值及不确定度</w:t>
      </w:r>
    </w:p>
    <w:tbl>
      <w:tblPr>
        <w:tblStyle w:val="6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98"/>
        <w:gridCol w:w="2412"/>
        <w:gridCol w:w="1818"/>
        <w:gridCol w:w="319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98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编号</w:t>
            </w:r>
          </w:p>
        </w:tc>
        <w:tc>
          <w:tcPr>
            <w:tcW w:w="2412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名称</w:t>
            </w:r>
          </w:p>
        </w:tc>
        <w:tc>
          <w:tcPr>
            <w:tcW w:w="1818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标准值</w:t>
            </w:r>
            <w:r>
              <w:rPr>
                <w:rFonts w:hint="eastAsia" w:ascii="宋体" w:hAnsi="宋体" w:eastAsia="宋体" w:cs="宋体"/>
                <w:sz w:val="24"/>
              </w:rPr>
              <w:t>（ug/mL）</w:t>
            </w:r>
          </w:p>
        </w:tc>
        <w:tc>
          <w:tcPr>
            <w:tcW w:w="3194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相对扩展不确定度（%）(k=2)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1098" w:type="dxa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BW10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  <w:t>184</w:t>
            </w:r>
          </w:p>
        </w:tc>
        <w:tc>
          <w:tcPr>
            <w:tcW w:w="2412" w:type="dxa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丙酮中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  <w:t>丙草胺</w:t>
            </w:r>
          </w:p>
        </w:tc>
        <w:tc>
          <w:tcPr>
            <w:tcW w:w="1818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100</w:t>
            </w:r>
          </w:p>
        </w:tc>
        <w:tc>
          <w:tcPr>
            <w:tcW w:w="3194" w:type="dxa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  <w:t>4</w:t>
            </w:r>
          </w:p>
        </w:tc>
      </w:tr>
    </w:tbl>
    <w:p>
      <w:pPr>
        <w:spacing w:line="400" w:lineRule="exact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Cs w:val="21"/>
        </w:rPr>
        <w:t>标准值的不确定度主要由原料纯度，称量，定容以及均匀性，稳定性等不确定度分量合成。</w:t>
      </w:r>
    </w:p>
    <w:p>
      <w:pPr>
        <w:spacing w:line="400" w:lineRule="exact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四、均匀性检验及稳定性考察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本标准物质自定值日期起，有效期12个月，研制单位将继续监测该标准物质的稳定性，有效期内如发现量值变化，将及时通知用户。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</w:p>
    <w:p>
      <w:pPr>
        <w:spacing w:line="400" w:lineRule="exact"/>
        <w:rPr>
          <w:rFonts w:ascii="宋体" w:hAnsi="宋体" w:eastAsia="宋体" w:cs="宋体"/>
          <w:color w:val="000000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五、包装、运输和贮存、使用及注意事项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1.包装: 本标准物质采用硼硅酸盐玻璃安瓿瓶包装，约</w:t>
      </w:r>
      <w:r>
        <w:rPr>
          <w:rFonts w:hint="eastAsia" w:ascii="宋体" w:hAnsi="宋体" w:eastAsia="宋体" w:cs="宋体"/>
          <w:sz w:val="24"/>
        </w:rPr>
        <w:t>1.2 mL</w:t>
      </w:r>
      <w:r>
        <w:rPr>
          <w:rFonts w:hint="eastAsia" w:ascii="宋体" w:hAnsi="宋体" w:eastAsia="宋体" w:cs="宋体"/>
          <w:color w:val="000000"/>
          <w:sz w:val="24"/>
        </w:rPr>
        <w:t>/支，移取或稀释时请以移液管量取为准。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 xml:space="preserve">2.运输和贮存: 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冰袋运输</w:t>
      </w: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,运输时应避免挤压,碰撞；冷冻-20℃、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避光</w:t>
      </w: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条件下贮存。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 xml:space="preserve">3.使用: 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启封前于室温（20±3℃）平衡，并充分摇匀。安瓿瓶一经打开，应立即使用，不可再次熔封后作为标准物质使用。</w:t>
      </w:r>
    </w:p>
    <w:p>
      <w:pPr>
        <w:rPr>
          <w:rFonts w:ascii="宋体" w:hAnsi="宋体" w:eastAsia="宋体" w:cs="宋体"/>
          <w:b/>
          <w:bCs/>
          <w:sz w:val="18"/>
          <w:szCs w:val="18"/>
        </w:rPr>
      </w:pPr>
    </w:p>
    <w:p>
      <w:pPr>
        <w:rPr>
          <w:rFonts w:ascii="宋体" w:hAnsi="宋体" w:eastAsia="宋体" w:cs="宋体"/>
          <w:b/>
          <w:bCs/>
          <w:sz w:val="18"/>
          <w:szCs w:val="18"/>
        </w:rPr>
      </w:pPr>
      <w:r>
        <w:rPr>
          <w:rFonts w:hint="eastAsia" w:ascii="宋体" w:hAnsi="宋体" w:eastAsia="宋体" w:cs="宋体"/>
          <w:b/>
          <w:bCs/>
          <w:sz w:val="18"/>
          <w:szCs w:val="18"/>
        </w:rPr>
        <w:t>声明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1.本标准物质仅供实验室研究与分析测试工作使用。因用户使用或存储不当所引起的投诉，不予承担责任。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2.收到后请立即核对品种、数量和包装，相关赔偿只限于标准物质本身，不涉及其他任何损失。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3.仅对加盖“上海源叶生物质检专用章”的完整证书负责。请妥善保管此证书。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4.如需获得更多与使用有关的信息，请与技术部门联系。</w:t>
      </w:r>
    </w:p>
    <w:p>
      <w:pPr>
        <w:widowControl/>
        <w:spacing w:line="300" w:lineRule="exact"/>
        <w:rPr>
          <w:rFonts w:ascii="宋体" w:hAnsi="宋体" w:eastAsia="宋体" w:cs="宋体"/>
          <w:szCs w:val="21"/>
        </w:rPr>
      </w:pPr>
    </w:p>
    <w:p>
      <w:pPr>
        <w:rPr>
          <w:rFonts w:ascii="宋体" w:hAnsi="宋体" w:eastAsia="宋体" w:cs="宋体"/>
          <w:color w:val="000000"/>
          <w:sz w:val="27"/>
        </w:rPr>
      </w:pPr>
      <w:r>
        <w:rPr>
          <w:rFonts w:ascii="宋体" w:hAnsi="宋体" w:eastAsia="宋体" w:cs="宋体"/>
          <w:sz w:val="27"/>
        </w:rPr>
        <w:pict>
          <v:shape id="文本框 3" o:spid="_x0000_s1026" o:spt="202" type="#_x0000_t202" style="position:absolute;left:0pt;margin-left:93.55pt;margin-top:10.85pt;height:76.05pt;width:321.15pt;z-index:251659264;mso-width-relative:page;mso-height-relative:page;" filled="f" stroked="f" coordsize="21600,21600" o:gfxdata="UEsDBAoAAAAAAIdO4kAAAAAAAAAAAAAAAAAEAAAAZHJzL1BLAwQUAAAACACHTuJARluBPNoAAAAK&#10;AQAADwAAAGRycy9kb3ducmV2LnhtbE2Py07DMBBF90j8gzVI7KiT8IgJcSoUqUJCsGjpht0kdpOI&#10;eBxi9wFfz7CC5dU9unOmXJ7cKA52DoMnDekiAWGp9WagTsP2bXWlQISIZHD0ZDV82QDL6vysxML4&#10;I63tYRM7wSMUCtTQxzgVUoa2tw7Dwk+WuNv52WHkOHfSzHjkcTfKLEnupMOB+EKPk617235s9k7D&#10;c716xXWTOfU91k8vu8fpc/t+q/XlRZo8gIj2FP9g+NVndajYqfF7MkGMnFWeMqohS3MQDKjs/gZE&#10;w01+rUBWpfz/QvUDUEsDBBQAAAAIAIdO4kCg8nT0TgIAAIAEAAAOAAAAZHJzL2Uyb0RvYy54bWyt&#10;VMFuEzEQvSPxD5bvdDfJJk2jbKrQqggpopUC4ux47e5KtsfYTnfDB8AfcOLCne/qdzD2btOqcOiB&#10;izP2vH3j92ac5XmnFbkTzjdgSjo6ySkRhkPVmNuSfvp49WZOiQ/MVEyBESU9CE/PV69fLVu7EGOo&#10;QVXCESQxftHaktYh2EWWeV4LzfwJWGEwKcFpFnDrbrPKsRbZtcrGeT7LWnCVdcCF93h62SfpwOhe&#10;QghSNlxcAt9rYULP6oRiASX5urGertJtpRQ8XEvpRSCqpKg0pBWLYLyLa7ZassWtY7Zu+HAF9pIr&#10;PNOkWWOw6JHqkgVG9q75i0o33IEHGU446KwXkhxBFaP8mTfbmlmRtKDV3h5N9/+Pln+4u3GkqXAS&#10;KDFMY8Pvf3y///n7/tc3Mon2tNYvELW1iAvdW+gidDj3eBhVd9Lp+It6CObHxWwyz9HiA2JH+dmk&#10;mPZGiy4QjoAiP53P8iklHBFns+l8kgDZI5N1PrwToEkMSuqwkclfdrfxAasj9AESCxu4apRKzVSG&#10;tCWdTaZ5+uCYwS+UiViRxmKgiep6FTEK3a4bpO2gOqBiB/3IeMuvGrzKhvlwwxzOCMrDVxSucZEK&#10;sCQMESU1uK//Oo94bB1mKWlx5krqv+yZE5So9wabejYqijikaVNMT8e4cU8zu6cZs9cXgGONjcPb&#10;pTDig3oIpQP9GR/bOlbFFDMca5c0PIQXoX8J+Fi5WK8TCMfSsrAxW8sjdW/ueh9ANsn3aFPvDTYh&#10;bnAwUzuGRxQn/+k+oR7/OFZ/AF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EZbgTzaAAAACgEAAA8A&#10;AAAAAAAAAQAgAAAAIgAAAGRycy9kb3ducmV2LnhtbFBLAQIUABQAAAAIAIdO4kCg8nT0TgIAAIAE&#10;AAAOAAAAAAAAAAEAIAAAACkBAABkcnMvZTJvRG9jLnhtbFBLBQYAAAAABgAGAFkBAADpBQAAAAA=&#10;">
            <v:path/>
            <v:fill on="f" focussize="0,0"/>
            <v:stroke on="f" weight="0.5pt" joinstyle="miter"/>
            <v:imagedata o:title=""/>
            <o:lock v:ext="edit"/>
            <v:textbox>
              <w:txbxContent>
                <w:p>
                  <w:pPr>
                    <w:widowControl/>
                    <w:spacing w:line="300" w:lineRule="exact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研制单位：上海源叶生物科技有限公司热线电话：4006665481</w:t>
                  </w:r>
                </w:p>
                <w:p>
                  <w:pPr>
                    <w:widowControl/>
                    <w:spacing w:line="300" w:lineRule="exact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官网网址：</w:t>
                  </w:r>
                  <w:r>
                    <w:fldChar w:fldCharType="begin"/>
                  </w:r>
                  <w:r>
                    <w:instrText xml:space="preserve"> HYPERLINK "http://www.shyuanye.com" </w:instrText>
                  </w:r>
                  <w:r>
                    <w:fldChar w:fldCharType="separate"/>
                  </w:r>
                  <w:r>
                    <w:rPr>
                      <w:rStyle w:val="8"/>
                      <w:rFonts w:hint="eastAsia"/>
                      <w:sz w:val="18"/>
                      <w:szCs w:val="18"/>
                    </w:rPr>
                    <w:t>www.shyuanye.com</w:t>
                  </w:r>
                  <w:r>
                    <w:rPr>
                      <w:rStyle w:val="8"/>
                      <w:rFonts w:hint="eastAsia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hint="eastAsia"/>
                      <w:sz w:val="18"/>
                      <w:szCs w:val="18"/>
                    </w:rPr>
                    <w:t>传真：021-55068248</w:t>
                  </w:r>
                </w:p>
                <w:p>
                  <w:pPr>
                    <w:widowControl/>
                    <w:spacing w:line="300" w:lineRule="exact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技术咨询：13817923140                技术邮箱：</w:t>
                  </w:r>
                  <w:r>
                    <w:fldChar w:fldCharType="begin"/>
                  </w:r>
                  <w:r>
                    <w:instrText xml:space="preserve"> HYPERLINK "mailto:3008007419@qq.com" </w:instrText>
                  </w:r>
                  <w:r>
                    <w:fldChar w:fldCharType="separate"/>
                  </w:r>
                  <w:r>
                    <w:rPr>
                      <w:rStyle w:val="8"/>
                      <w:rFonts w:hint="eastAsia"/>
                      <w:sz w:val="18"/>
                      <w:szCs w:val="18"/>
                    </w:rPr>
                    <w:t>3008007419@qq.com</w:t>
                  </w:r>
                  <w:r>
                    <w:rPr>
                      <w:rStyle w:val="8"/>
                      <w:rFonts w:hint="eastAsia"/>
                      <w:sz w:val="18"/>
                      <w:szCs w:val="18"/>
                    </w:rPr>
                    <w:fldChar w:fldCharType="end"/>
                  </w:r>
                </w:p>
                <w:p>
                  <w:pPr>
                    <w:widowControl/>
                    <w:spacing w:line="300" w:lineRule="exact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单位地址：上海市松江区长塔路465号6幢</w:t>
                  </w:r>
                </w:p>
                <w:p/>
              </w:txbxContent>
            </v:textbox>
          </v:shape>
        </w:pict>
      </w:r>
      <w:r>
        <w:rPr>
          <w:rFonts w:hint="eastAsia" w:ascii="宋体" w:hAnsi="宋体" w:eastAsia="宋体" w:cs="宋体"/>
          <w:color w:val="000000"/>
          <w:sz w:val="27"/>
        </w:rPr>
        <w:drawing>
          <wp:inline distT="0" distB="0" distL="114300" distR="114300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spacing w:line="360" w:lineRule="auto"/>
        <w:rPr>
          <w:rFonts w:hint="default" w:ascii="Times New Roman" w:hAnsi="Times New Roman" w:eastAsia="宋体" w:cs="Times New Roman"/>
          <w:sz w:val="24"/>
          <w:lang w:val="en-US" w:eastAsia="zh-CN"/>
        </w:rPr>
      </w:pPr>
      <w:r>
        <w:rPr>
          <w:rFonts w:ascii="Times New Roman" w:hAnsi="宋体" w:eastAsia="宋体" w:cs="Times New Roman"/>
          <w:b/>
          <w:bCs/>
          <w:sz w:val="24"/>
        </w:rPr>
        <w:t>附件：</w:t>
      </w:r>
      <w:r>
        <w:rPr>
          <w:rFonts w:hint="eastAsia" w:ascii="Times New Roman" w:hAnsi="Times New Roman" w:eastAsia="宋体" w:cs="Times New Roman"/>
          <w:b/>
          <w:bCs/>
          <w:sz w:val="24"/>
          <w:lang w:val="en-US" w:eastAsia="zh-CN"/>
        </w:rPr>
        <w:t>GC</w:t>
      </w:r>
    </w:p>
    <w:p>
      <w:pPr>
        <w:autoSpaceDE w:val="0"/>
        <w:autoSpaceDN w:val="0"/>
        <w:adjustRightInd w:val="0"/>
        <w:spacing w:line="360" w:lineRule="auto"/>
        <w:jc w:val="left"/>
        <w:rPr>
          <w:rFonts w:hint="eastAsia" w:ascii="Times New Roman" w:cs="Times New Roman"/>
          <w:kern w:val="0"/>
          <w:sz w:val="24"/>
          <w:lang w:val="en-US" w:eastAsia="zh-CN"/>
        </w:rPr>
      </w:pPr>
      <w:r>
        <w:rPr>
          <w:rFonts w:ascii="Times New Roman" w:cs="Times New Roman"/>
          <w:kern w:val="0"/>
          <w:sz w:val="24"/>
        </w:rPr>
        <w:t>色谱柱：</w:t>
      </w:r>
      <w:r>
        <w:rPr>
          <w:rFonts w:hint="eastAsia" w:ascii="Times New Roman" w:cs="Times New Roman"/>
          <w:kern w:val="0"/>
          <w:sz w:val="24"/>
          <w:lang w:val="en-US" w:eastAsia="zh-CN"/>
        </w:rPr>
        <w:t>HP-5   (30m*0.250mm*0.25μm)</w:t>
      </w:r>
    </w:p>
    <w:p>
      <w:pPr>
        <w:autoSpaceDE w:val="0"/>
        <w:autoSpaceDN w:val="0"/>
        <w:adjustRightInd w:val="0"/>
        <w:spacing w:line="360" w:lineRule="auto"/>
        <w:jc w:val="left"/>
        <w:rPr>
          <w:rFonts w:hint="eastAsia" w:ascii="Times New Roman" w:cs="Times New Roman"/>
          <w:kern w:val="0"/>
          <w:sz w:val="24"/>
          <w:lang w:val="en-US" w:eastAsia="zh-CN"/>
        </w:rPr>
      </w:pPr>
      <w:r>
        <w:rPr>
          <w:rFonts w:hint="eastAsia" w:ascii="Times New Roman" w:cs="Times New Roman"/>
          <w:kern w:val="0"/>
          <w:sz w:val="24"/>
          <w:lang w:val="en-US" w:eastAsia="zh-CN"/>
        </w:rPr>
        <w:t>进样口温度：250℃</w:t>
      </w:r>
    </w:p>
    <w:p>
      <w:pPr>
        <w:autoSpaceDE w:val="0"/>
        <w:autoSpaceDN w:val="0"/>
        <w:adjustRightInd w:val="0"/>
        <w:spacing w:line="360" w:lineRule="auto"/>
        <w:jc w:val="left"/>
        <w:rPr>
          <w:rFonts w:hint="default" w:ascii="Times New Roman" w:cs="Times New Roman"/>
          <w:kern w:val="0"/>
          <w:sz w:val="24"/>
          <w:lang w:val="en-US" w:eastAsia="zh-CN"/>
        </w:rPr>
      </w:pPr>
      <w:r>
        <w:rPr>
          <w:rFonts w:hint="eastAsia" w:ascii="Times New Roman" w:cs="Times New Roman"/>
          <w:kern w:val="0"/>
          <w:sz w:val="24"/>
          <w:lang w:val="en-US" w:eastAsia="zh-CN"/>
        </w:rPr>
        <w:t>检测器温度：250℃</w:t>
      </w:r>
    </w:p>
    <w:p>
      <w:pPr>
        <w:autoSpaceDE w:val="0"/>
        <w:autoSpaceDN w:val="0"/>
        <w:adjustRightInd w:val="0"/>
        <w:spacing w:line="360" w:lineRule="auto"/>
        <w:jc w:val="left"/>
        <w:rPr>
          <w:rFonts w:hint="eastAsia" w:ascii="Times New Roman" w:cs="Times New Roman"/>
          <w:kern w:val="0"/>
          <w:sz w:val="24"/>
          <w:lang w:val="en-US" w:eastAsia="zh-CN"/>
        </w:rPr>
      </w:pPr>
      <w:r>
        <w:rPr>
          <w:rFonts w:hint="eastAsia" w:ascii="Times New Roman" w:cs="Times New Roman"/>
          <w:kern w:val="0"/>
          <w:sz w:val="24"/>
          <w:lang w:val="en-US" w:eastAsia="zh-CN"/>
        </w:rPr>
        <w:t>氢气流速：30mL/min</w:t>
      </w:r>
    </w:p>
    <w:p>
      <w:pPr>
        <w:autoSpaceDE w:val="0"/>
        <w:autoSpaceDN w:val="0"/>
        <w:adjustRightInd w:val="0"/>
        <w:spacing w:line="360" w:lineRule="auto"/>
        <w:jc w:val="left"/>
        <w:rPr>
          <w:rFonts w:hint="eastAsia" w:ascii="Times New Roman" w:cs="Times New Roman"/>
          <w:kern w:val="0"/>
          <w:sz w:val="24"/>
          <w:lang w:val="en-US" w:eastAsia="zh-CN"/>
        </w:rPr>
      </w:pPr>
      <w:r>
        <w:rPr>
          <w:rFonts w:hint="eastAsia" w:ascii="Times New Roman" w:cs="Times New Roman"/>
          <w:kern w:val="0"/>
          <w:sz w:val="24"/>
          <w:lang w:val="en-US" w:eastAsia="zh-CN"/>
        </w:rPr>
        <w:t>空气流速：400mL/min</w:t>
      </w:r>
    </w:p>
    <w:p>
      <w:pPr>
        <w:autoSpaceDE w:val="0"/>
        <w:autoSpaceDN w:val="0"/>
        <w:adjustRightInd w:val="0"/>
        <w:spacing w:line="360" w:lineRule="auto"/>
        <w:jc w:val="left"/>
        <w:rPr>
          <w:rFonts w:hint="eastAsia" w:ascii="Times New Roman" w:cs="Times New Roman"/>
          <w:kern w:val="0"/>
          <w:sz w:val="24"/>
          <w:lang w:val="en-US" w:eastAsia="zh-CN"/>
        </w:rPr>
      </w:pPr>
      <w:r>
        <w:rPr>
          <w:rFonts w:hint="eastAsia" w:ascii="Times New Roman" w:cs="Times New Roman"/>
          <w:kern w:val="0"/>
          <w:sz w:val="24"/>
          <w:lang w:val="en-US" w:eastAsia="zh-CN"/>
        </w:rPr>
        <w:t>载气流速：1mL/min</w:t>
      </w:r>
    </w:p>
    <w:p>
      <w:pPr>
        <w:autoSpaceDE w:val="0"/>
        <w:autoSpaceDN w:val="0"/>
        <w:adjustRightInd w:val="0"/>
        <w:spacing w:line="360" w:lineRule="auto"/>
        <w:jc w:val="left"/>
        <w:rPr>
          <w:rFonts w:hint="eastAsia" w:ascii="Times New Roman" w:cs="Times New Roman"/>
          <w:kern w:val="0"/>
          <w:sz w:val="24"/>
          <w:lang w:val="en-US" w:eastAsia="zh-CN"/>
        </w:rPr>
      </w:pPr>
      <w:r>
        <w:rPr>
          <w:rFonts w:hint="eastAsia" w:ascii="Times New Roman" w:cs="Times New Roman"/>
          <w:kern w:val="0"/>
          <w:sz w:val="24"/>
          <w:lang w:val="en-US" w:eastAsia="zh-CN"/>
        </w:rPr>
        <w:t>进样量：1μL</w:t>
      </w:r>
    </w:p>
    <w:p>
      <w:pPr>
        <w:autoSpaceDE w:val="0"/>
        <w:autoSpaceDN w:val="0"/>
        <w:adjustRightInd w:val="0"/>
        <w:spacing w:line="360" w:lineRule="auto"/>
        <w:jc w:val="left"/>
        <w:rPr>
          <w:rFonts w:hint="eastAsia" w:ascii="Times New Roman" w:cs="Times New Roman"/>
          <w:kern w:val="0"/>
          <w:sz w:val="24"/>
          <w:lang w:val="en-US" w:eastAsia="zh-CN"/>
        </w:rPr>
      </w:pPr>
      <w:r>
        <w:rPr>
          <w:rFonts w:hint="eastAsia" w:ascii="Times New Roman" w:cs="Times New Roman"/>
          <w:kern w:val="0"/>
          <w:sz w:val="24"/>
          <w:lang w:val="en-US" w:eastAsia="zh-CN"/>
        </w:rPr>
        <w:t>分流比：1:1</w:t>
      </w:r>
    </w:p>
    <w:p>
      <w:pPr>
        <w:autoSpaceDE w:val="0"/>
        <w:autoSpaceDN w:val="0"/>
        <w:adjustRightInd w:val="0"/>
        <w:spacing w:line="360" w:lineRule="auto"/>
        <w:jc w:val="left"/>
        <w:rPr>
          <w:rFonts w:hint="default" w:ascii="Times New Roman" w:cs="Times New Roman"/>
          <w:kern w:val="0"/>
          <w:sz w:val="24"/>
          <w:lang w:val="en-US" w:eastAsia="zh-CN"/>
        </w:rPr>
      </w:pPr>
      <w:r>
        <w:rPr>
          <w:rFonts w:hint="eastAsia" w:ascii="Times New Roman" w:cs="Times New Roman"/>
          <w:kern w:val="0"/>
          <w:sz w:val="24"/>
          <w:lang w:val="en-US" w:eastAsia="zh-CN"/>
        </w:rPr>
        <w:t>升温程序：220℃ 恒温保持12min</w:t>
      </w:r>
    </w:p>
    <w:p>
      <w:pPr>
        <w:rPr>
          <w:rFonts w:ascii="宋体" w:hAnsi="宋体" w:eastAsia="宋体" w:cs="宋体"/>
          <w:sz w:val="24"/>
        </w:rPr>
      </w:pPr>
      <w:bookmarkStart w:id="0" w:name="_GoBack"/>
      <w:bookmarkEnd w:id="0"/>
      <w:r>
        <w:rPr>
          <w:rFonts w:ascii="Arial" w:hAnsi="Arial" w:eastAsia="Arial" w:cs="Arial"/>
          <w:color w:val="000000"/>
          <w:sz w:val="19"/>
        </w:rPr>
        <w:drawing>
          <wp:inline distT="0" distB="0" distL="0" distR="0">
            <wp:extent cx="5925185" cy="1950085"/>
            <wp:effectExtent l="0" t="0" r="18415" b="12065"/>
            <wp:docPr id="1" name="pi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15"/>
                    <pic:cNvPicPr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25185" cy="1950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Dg0MjViZDgxNjE0Y2Q2NDM3ODZjMWUzYzc0OTYyYTUifQ=="/>
  </w:docVars>
  <w:rsids>
    <w:rsidRoot w:val="00D52787"/>
    <w:rsid w:val="000A27FD"/>
    <w:rsid w:val="000D109E"/>
    <w:rsid w:val="00185B20"/>
    <w:rsid w:val="00212949"/>
    <w:rsid w:val="00227484"/>
    <w:rsid w:val="002368D7"/>
    <w:rsid w:val="00274F95"/>
    <w:rsid w:val="002B14B7"/>
    <w:rsid w:val="002D4B5E"/>
    <w:rsid w:val="00315EB4"/>
    <w:rsid w:val="003D6998"/>
    <w:rsid w:val="004703E8"/>
    <w:rsid w:val="004A2DF7"/>
    <w:rsid w:val="004C1C03"/>
    <w:rsid w:val="0050738B"/>
    <w:rsid w:val="00536503"/>
    <w:rsid w:val="005620BF"/>
    <w:rsid w:val="00593281"/>
    <w:rsid w:val="005A5331"/>
    <w:rsid w:val="0064466F"/>
    <w:rsid w:val="006679EA"/>
    <w:rsid w:val="00682E3D"/>
    <w:rsid w:val="006C4819"/>
    <w:rsid w:val="00717D03"/>
    <w:rsid w:val="00746A5C"/>
    <w:rsid w:val="007A64F7"/>
    <w:rsid w:val="00803E37"/>
    <w:rsid w:val="00870DD5"/>
    <w:rsid w:val="008D1718"/>
    <w:rsid w:val="008D5985"/>
    <w:rsid w:val="0092621D"/>
    <w:rsid w:val="00985609"/>
    <w:rsid w:val="00A10FC9"/>
    <w:rsid w:val="00A75DB7"/>
    <w:rsid w:val="00AB2958"/>
    <w:rsid w:val="00B15AA5"/>
    <w:rsid w:val="00B95B45"/>
    <w:rsid w:val="00BB595E"/>
    <w:rsid w:val="00C162F9"/>
    <w:rsid w:val="00CC6DB2"/>
    <w:rsid w:val="00D139C9"/>
    <w:rsid w:val="00D157A5"/>
    <w:rsid w:val="00D25B40"/>
    <w:rsid w:val="00D52787"/>
    <w:rsid w:val="00D559B4"/>
    <w:rsid w:val="00DD4FD4"/>
    <w:rsid w:val="00E8473F"/>
    <w:rsid w:val="00FD6773"/>
    <w:rsid w:val="03747AFA"/>
    <w:rsid w:val="07B316BF"/>
    <w:rsid w:val="083349B1"/>
    <w:rsid w:val="0A9178F5"/>
    <w:rsid w:val="0C337E62"/>
    <w:rsid w:val="0D7161B9"/>
    <w:rsid w:val="0DB55C74"/>
    <w:rsid w:val="159E0138"/>
    <w:rsid w:val="18B47D79"/>
    <w:rsid w:val="1B9E73A9"/>
    <w:rsid w:val="22B22269"/>
    <w:rsid w:val="235D2BD8"/>
    <w:rsid w:val="24660F48"/>
    <w:rsid w:val="249F4005"/>
    <w:rsid w:val="26483687"/>
    <w:rsid w:val="28E8199C"/>
    <w:rsid w:val="2A3F6D06"/>
    <w:rsid w:val="2C6C4915"/>
    <w:rsid w:val="2D8A0633"/>
    <w:rsid w:val="2FCD7F57"/>
    <w:rsid w:val="31B328CE"/>
    <w:rsid w:val="32E208AC"/>
    <w:rsid w:val="371D4104"/>
    <w:rsid w:val="383006CD"/>
    <w:rsid w:val="3E060958"/>
    <w:rsid w:val="3E3F7458"/>
    <w:rsid w:val="40547DBC"/>
    <w:rsid w:val="45A96F17"/>
    <w:rsid w:val="46ED5CDD"/>
    <w:rsid w:val="4D201F04"/>
    <w:rsid w:val="4D9A7C3A"/>
    <w:rsid w:val="4EF03D76"/>
    <w:rsid w:val="50E964D4"/>
    <w:rsid w:val="535836FF"/>
    <w:rsid w:val="597A1264"/>
    <w:rsid w:val="5C0F59F4"/>
    <w:rsid w:val="5D3748F8"/>
    <w:rsid w:val="5DB702D2"/>
    <w:rsid w:val="5DB85BB6"/>
    <w:rsid w:val="5F0B4202"/>
    <w:rsid w:val="5F315CF9"/>
    <w:rsid w:val="5F8E596F"/>
    <w:rsid w:val="650A6BFD"/>
    <w:rsid w:val="69F027AB"/>
    <w:rsid w:val="6B154320"/>
    <w:rsid w:val="6D2C2170"/>
    <w:rsid w:val="7414319D"/>
    <w:rsid w:val="75C21D45"/>
    <w:rsid w:val="77060FAD"/>
    <w:rsid w:val="77F415CF"/>
    <w:rsid w:val="78D33D64"/>
    <w:rsid w:val="79356D6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nhideWhenUsed="0" w:uiPriority="0" w:semiHidden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200" w:line="276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3"/>
    <w:qFormat/>
    <w:uiPriority w:val="0"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3">
    <w:name w:val="footer"/>
    <w:basedOn w:val="1"/>
    <w:link w:val="12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paragraph" w:styleId="4">
    <w:name w:val="header"/>
    <w:basedOn w:val="1"/>
    <w:link w:val="11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Hyperlink"/>
    <w:basedOn w:val="7"/>
    <w:qFormat/>
    <w:uiPriority w:val="0"/>
    <w:rPr>
      <w:color w:val="0000FF"/>
      <w:u w:val="single"/>
    </w:rPr>
  </w:style>
  <w:style w:type="paragraph" w:customStyle="1" w:styleId="9">
    <w:name w:val="Normal_1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10">
    <w:name w:val="Normal_0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customStyle="1" w:styleId="11">
    <w:name w:val="页眉 Char"/>
    <w:basedOn w:val="7"/>
    <w:link w:val="4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2">
    <w:name w:val="页脚 Char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3">
    <w:name w:val="批注框文本 Char"/>
    <w:basedOn w:val="7"/>
    <w:link w:val="2"/>
    <w:qFormat/>
    <w:uiPriority w:val="0"/>
    <w:rPr>
      <w:rFonts w:ascii="微软雅黑" w:eastAsia="微软雅黑" w:hAnsiTheme="minorHAnsi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emf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 R C</Company>
  <Pages>4</Pages>
  <Words>925</Words>
  <Characters>1080</Characters>
  <Lines>2</Lines>
  <Paragraphs>2</Paragraphs>
  <TotalTime>0</TotalTime>
  <ScaleCrop>false</ScaleCrop>
  <LinksUpToDate>false</LinksUpToDate>
  <CharactersWithSpaces>1119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2020-12-30T09:28:00Z</dcterms:created>
  <dc:creator>86138</dc:creator>
  <cp:lastModifiedBy>yuanye968</cp:lastModifiedBy>
  <dcterms:modified xsi:type="dcterms:W3CDTF">2022-06-17T06:02:25Z</dcterms:modified>
  <cp:revision>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8D2E42F91653483587915F20C1B607CC</vt:lpwstr>
  </property>
</Properties>
</file>